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C2" w:rsidRPr="009B36DD" w:rsidRDefault="00162AC2" w:rsidP="009B36DD">
      <w:pPr>
        <w:spacing w:after="0" w:line="240" w:lineRule="auto"/>
        <w:rPr>
          <w:rFonts w:ascii="Calibri" w:hAnsi="Calibri"/>
          <w:szCs w:val="24"/>
          <w:u w:val="single"/>
        </w:rPr>
      </w:pPr>
    </w:p>
    <w:p w:rsidR="00040BD7" w:rsidRPr="009B36DD" w:rsidRDefault="00090695" w:rsidP="009B36DD">
      <w:pPr>
        <w:pStyle w:val="berschrift1"/>
        <w:jc w:val="center"/>
        <w:rPr>
          <w:sz w:val="40"/>
          <w:szCs w:val="40"/>
        </w:rPr>
      </w:pPr>
      <w:r>
        <w:rPr>
          <w:sz w:val="40"/>
          <w:szCs w:val="40"/>
        </w:rPr>
        <w:t>Wassergebühren-</w:t>
      </w:r>
      <w:r w:rsidR="00040BD7" w:rsidRPr="009B36DD">
        <w:rPr>
          <w:sz w:val="40"/>
          <w:szCs w:val="40"/>
        </w:rPr>
        <w:t>Verordnung</w:t>
      </w:r>
    </w:p>
    <w:p w:rsidR="00040BD7" w:rsidRPr="009B36DD" w:rsidRDefault="00040BD7" w:rsidP="009B36DD">
      <w:pPr>
        <w:spacing w:after="0" w:line="240" w:lineRule="auto"/>
        <w:jc w:val="both"/>
        <w:rPr>
          <w:rFonts w:ascii="Calibri" w:hAnsi="Calibri" w:cs="Arial"/>
          <w:szCs w:val="24"/>
        </w:rPr>
      </w:pPr>
    </w:p>
    <w:p w:rsidR="00040BD7" w:rsidRPr="009B36DD" w:rsidRDefault="00040BD7" w:rsidP="009B36DD">
      <w:pPr>
        <w:spacing w:after="0" w:line="240" w:lineRule="auto"/>
        <w:jc w:val="both"/>
        <w:rPr>
          <w:rFonts w:ascii="Calibri" w:hAnsi="Calibri" w:cs="Arial"/>
          <w:szCs w:val="24"/>
        </w:rPr>
      </w:pPr>
      <w:r w:rsidRPr="009B36DD">
        <w:rPr>
          <w:rFonts w:ascii="Calibri" w:hAnsi="Calibri" w:cs="Arial"/>
          <w:szCs w:val="24"/>
        </w:rPr>
        <w:t xml:space="preserve">des Gemeinderates der Gemeinde Munderfing vom </w:t>
      </w:r>
      <w:r w:rsidR="00E2210C">
        <w:rPr>
          <w:rFonts w:ascii="Calibri" w:hAnsi="Calibri" w:cs="Arial"/>
          <w:szCs w:val="24"/>
        </w:rPr>
        <w:t>15.04.2019</w:t>
      </w:r>
      <w:r w:rsidRPr="009B36DD">
        <w:rPr>
          <w:rFonts w:ascii="Calibri" w:hAnsi="Calibri" w:cs="Arial"/>
          <w:szCs w:val="24"/>
        </w:rPr>
        <w:t>, mit der eine Wassergebührenordnung für die Ortswasserversorgungsanlage erlassen wird.</w:t>
      </w:r>
    </w:p>
    <w:p w:rsidR="00040BD7" w:rsidRPr="009B36DD" w:rsidRDefault="00040BD7" w:rsidP="009B36DD">
      <w:pPr>
        <w:spacing w:after="0" w:line="240" w:lineRule="auto"/>
        <w:jc w:val="both"/>
        <w:rPr>
          <w:rFonts w:ascii="Calibri" w:hAnsi="Calibri" w:cs="Arial"/>
          <w:szCs w:val="24"/>
        </w:rPr>
      </w:pPr>
    </w:p>
    <w:p w:rsidR="00040BD7" w:rsidRPr="009B36DD" w:rsidRDefault="00040BD7" w:rsidP="009B36DD">
      <w:pPr>
        <w:spacing w:after="0" w:line="240" w:lineRule="auto"/>
        <w:jc w:val="both"/>
        <w:rPr>
          <w:rFonts w:ascii="Calibri" w:hAnsi="Calibri" w:cs="Arial"/>
          <w:szCs w:val="24"/>
        </w:rPr>
      </w:pPr>
      <w:r w:rsidRPr="009B36DD">
        <w:rPr>
          <w:rFonts w:ascii="Calibri" w:hAnsi="Calibri" w:cs="Arial"/>
          <w:szCs w:val="24"/>
        </w:rPr>
        <w:t xml:space="preserve">Aufgrund des </w:t>
      </w:r>
      <w:proofErr w:type="spellStart"/>
      <w:r w:rsidRPr="009B36DD">
        <w:rPr>
          <w:rFonts w:ascii="Calibri" w:hAnsi="Calibri" w:cs="Arial"/>
          <w:szCs w:val="24"/>
        </w:rPr>
        <w:t>Oö</w:t>
      </w:r>
      <w:proofErr w:type="spellEnd"/>
      <w:r w:rsidRPr="009B36DD">
        <w:rPr>
          <w:rFonts w:ascii="Calibri" w:hAnsi="Calibri" w:cs="Arial"/>
          <w:szCs w:val="24"/>
        </w:rPr>
        <w:t xml:space="preserve">. Interessentenbeiträge-Gesetzes 1958, </w:t>
      </w:r>
      <w:proofErr w:type="spellStart"/>
      <w:r w:rsidRPr="009B36DD">
        <w:rPr>
          <w:rFonts w:ascii="Calibri" w:hAnsi="Calibri" w:cs="Arial"/>
          <w:szCs w:val="24"/>
        </w:rPr>
        <w:t>LGBl</w:t>
      </w:r>
      <w:proofErr w:type="spellEnd"/>
      <w:r w:rsidRPr="009B36DD">
        <w:rPr>
          <w:rFonts w:ascii="Calibri" w:hAnsi="Calibri" w:cs="Arial"/>
          <w:szCs w:val="24"/>
        </w:rPr>
        <w:t>. Nr. 28, und des § 17 Abs. 3 Z. 4 des Finanz</w:t>
      </w:r>
      <w:r w:rsidRPr="009B36DD">
        <w:rPr>
          <w:rFonts w:ascii="Calibri" w:hAnsi="Calibri" w:cs="Arial"/>
          <w:szCs w:val="24"/>
        </w:rPr>
        <w:softHyphen/>
        <w:t>ausgleichsgesetzes 2017, BGBl. I Nr. 116/2016, jeweils in der geltenden Fassung, wird verordnet:</w:t>
      </w:r>
    </w:p>
    <w:p w:rsidR="00040BD7" w:rsidRPr="009B36DD" w:rsidRDefault="00040BD7" w:rsidP="009B36DD">
      <w:pPr>
        <w:spacing w:after="0" w:line="240" w:lineRule="auto"/>
        <w:jc w:val="both"/>
        <w:rPr>
          <w:rFonts w:ascii="Calibri" w:hAnsi="Calibri" w:cs="Arial"/>
          <w:szCs w:val="24"/>
        </w:rPr>
      </w:pPr>
    </w:p>
    <w:p w:rsidR="00040BD7" w:rsidRPr="009B36DD" w:rsidRDefault="00040BD7" w:rsidP="009B36DD">
      <w:pPr>
        <w:spacing w:after="0" w:line="240" w:lineRule="auto"/>
        <w:jc w:val="center"/>
        <w:rPr>
          <w:rFonts w:ascii="Calibri" w:hAnsi="Calibri" w:cs="Arial"/>
          <w:b/>
          <w:szCs w:val="24"/>
        </w:rPr>
      </w:pPr>
      <w:r w:rsidRPr="009B36DD">
        <w:rPr>
          <w:rFonts w:ascii="Calibri" w:hAnsi="Calibri" w:cs="Arial"/>
          <w:b/>
          <w:szCs w:val="24"/>
        </w:rPr>
        <w:t>§ 1</w:t>
      </w:r>
    </w:p>
    <w:p w:rsidR="00040BD7" w:rsidRPr="009B36DD" w:rsidRDefault="00040BD7" w:rsidP="009B36DD">
      <w:pPr>
        <w:pStyle w:val="berschrift1"/>
        <w:spacing w:before="0" w:line="240" w:lineRule="auto"/>
        <w:jc w:val="center"/>
        <w:rPr>
          <w:rFonts w:ascii="Calibri" w:hAnsi="Calibri" w:cs="Arial"/>
          <w:sz w:val="24"/>
          <w:szCs w:val="24"/>
        </w:rPr>
      </w:pPr>
      <w:r w:rsidRPr="009B36DD">
        <w:rPr>
          <w:rFonts w:ascii="Calibri" w:hAnsi="Calibri" w:cs="Arial"/>
          <w:sz w:val="24"/>
          <w:szCs w:val="24"/>
        </w:rPr>
        <w:t>Anschlussgebühr</w:t>
      </w:r>
    </w:p>
    <w:p w:rsidR="00040BD7" w:rsidRPr="009B36DD" w:rsidRDefault="00040BD7" w:rsidP="009B36DD">
      <w:pPr>
        <w:spacing w:after="0" w:line="240" w:lineRule="auto"/>
        <w:jc w:val="both"/>
        <w:rPr>
          <w:rFonts w:ascii="Calibri" w:hAnsi="Calibri" w:cs="Arial"/>
          <w:szCs w:val="24"/>
        </w:rPr>
      </w:pPr>
    </w:p>
    <w:p w:rsidR="00040BD7" w:rsidRPr="009B36DD" w:rsidRDefault="00040BD7" w:rsidP="009B36DD">
      <w:pPr>
        <w:pStyle w:val="Textkrper"/>
        <w:rPr>
          <w:rFonts w:ascii="Calibri" w:hAnsi="Calibri" w:cs="Arial"/>
          <w:b w:val="0"/>
          <w:sz w:val="24"/>
          <w:szCs w:val="24"/>
        </w:rPr>
      </w:pPr>
      <w:r w:rsidRPr="009B36DD">
        <w:rPr>
          <w:rFonts w:ascii="Calibri" w:hAnsi="Calibri" w:cs="Arial"/>
          <w:b w:val="0"/>
          <w:sz w:val="24"/>
          <w:szCs w:val="24"/>
        </w:rPr>
        <w:t xml:space="preserve">Für den Anschluss von Grundstücken an die gemeindeeigene, öffentliche Wasserversorgungsanlage der Gemeinde Munderfing (im folgenden Wasserversorgungsanlage) wird eine Wasseranschlussgebühr erhoben. Gebührenpflichtig ist der Eigentümer der angeschlossenen Grundstücke, im Fall des Bestehens von Baurechten der Bauberechtigte. </w:t>
      </w:r>
    </w:p>
    <w:p w:rsidR="00040BD7" w:rsidRPr="009B36DD" w:rsidRDefault="00040BD7" w:rsidP="009B36DD">
      <w:pPr>
        <w:spacing w:after="0" w:line="240" w:lineRule="auto"/>
        <w:jc w:val="both"/>
        <w:rPr>
          <w:rFonts w:ascii="Calibri" w:hAnsi="Calibri" w:cs="Arial"/>
          <w:szCs w:val="24"/>
        </w:rPr>
      </w:pPr>
    </w:p>
    <w:p w:rsidR="00040BD7" w:rsidRPr="009B36DD" w:rsidRDefault="00040BD7" w:rsidP="009B36DD">
      <w:pPr>
        <w:spacing w:after="0" w:line="240" w:lineRule="auto"/>
        <w:jc w:val="center"/>
        <w:rPr>
          <w:rFonts w:ascii="Calibri" w:hAnsi="Calibri" w:cs="Arial"/>
          <w:b/>
          <w:szCs w:val="24"/>
        </w:rPr>
      </w:pPr>
      <w:r w:rsidRPr="009B36DD">
        <w:rPr>
          <w:rFonts w:ascii="Calibri" w:hAnsi="Calibri" w:cs="Arial"/>
          <w:b/>
          <w:szCs w:val="24"/>
        </w:rPr>
        <w:t>§ 2</w:t>
      </w:r>
    </w:p>
    <w:p w:rsidR="00040BD7" w:rsidRPr="009B36DD" w:rsidRDefault="00040BD7" w:rsidP="009B36DD">
      <w:pPr>
        <w:pStyle w:val="berschrift1"/>
        <w:spacing w:before="0" w:line="240" w:lineRule="auto"/>
        <w:jc w:val="center"/>
        <w:rPr>
          <w:rFonts w:ascii="Calibri" w:hAnsi="Calibri" w:cs="Arial"/>
          <w:sz w:val="24"/>
          <w:szCs w:val="24"/>
        </w:rPr>
      </w:pPr>
      <w:r w:rsidRPr="009B36DD">
        <w:rPr>
          <w:rFonts w:ascii="Calibri" w:hAnsi="Calibri" w:cs="Arial"/>
          <w:sz w:val="24"/>
          <w:szCs w:val="24"/>
        </w:rPr>
        <w:t>Ausmaß der Anschlussgebühr</w:t>
      </w:r>
    </w:p>
    <w:p w:rsidR="00040BD7" w:rsidRPr="009B36DD" w:rsidRDefault="00040BD7" w:rsidP="009B36DD">
      <w:pPr>
        <w:spacing w:after="0" w:line="240" w:lineRule="auto"/>
        <w:jc w:val="both"/>
        <w:rPr>
          <w:rFonts w:ascii="Calibri" w:hAnsi="Calibri" w:cs="Arial"/>
          <w:szCs w:val="24"/>
        </w:rPr>
      </w:pPr>
    </w:p>
    <w:p w:rsidR="00040BD7" w:rsidRPr="009B36DD" w:rsidRDefault="00040BD7" w:rsidP="009B36DD">
      <w:pPr>
        <w:pStyle w:val="Textkrper21"/>
        <w:numPr>
          <w:ilvl w:val="0"/>
          <w:numId w:val="14"/>
        </w:numPr>
        <w:tabs>
          <w:tab w:val="decimal" w:pos="5103"/>
        </w:tabs>
        <w:spacing w:line="240" w:lineRule="auto"/>
        <w:jc w:val="left"/>
        <w:rPr>
          <w:rFonts w:ascii="Calibri" w:hAnsi="Calibri" w:cs="Arial"/>
          <w:b w:val="0"/>
          <w:szCs w:val="24"/>
        </w:rPr>
      </w:pPr>
      <w:r w:rsidRPr="009B36DD">
        <w:rPr>
          <w:rFonts w:ascii="Calibri" w:hAnsi="Calibri" w:cs="Arial"/>
          <w:b w:val="0"/>
          <w:szCs w:val="24"/>
        </w:rPr>
        <w:t xml:space="preserve">Die Wasseranschlussgebühr beträgt für bebaute Grundstücke </w:t>
      </w:r>
      <w:r w:rsidRPr="009B36DD">
        <w:rPr>
          <w:rFonts w:ascii="Calibri" w:hAnsi="Calibri" w:cs="Arial"/>
          <w:b w:val="0"/>
          <w:szCs w:val="24"/>
        </w:rPr>
        <w:br/>
        <w:t>* bis 200 m²</w:t>
      </w:r>
      <w:r w:rsidRPr="009B36DD">
        <w:rPr>
          <w:rFonts w:ascii="Calibri" w:hAnsi="Calibri" w:cs="Arial"/>
          <w:b w:val="0"/>
          <w:szCs w:val="24"/>
        </w:rPr>
        <w:tab/>
        <w:t>13,75 EUR</w:t>
      </w:r>
      <w:r w:rsidRPr="009B36DD">
        <w:rPr>
          <w:rFonts w:ascii="Calibri" w:hAnsi="Calibri" w:cs="Arial"/>
          <w:b w:val="0"/>
          <w:szCs w:val="24"/>
        </w:rPr>
        <w:br/>
        <w:t>* von 201 bis 300 m²</w:t>
      </w:r>
      <w:r w:rsidRPr="009B36DD">
        <w:rPr>
          <w:rFonts w:ascii="Calibri" w:hAnsi="Calibri" w:cs="Arial"/>
          <w:b w:val="0"/>
          <w:szCs w:val="24"/>
        </w:rPr>
        <w:tab/>
        <w:t>10,00 EUR</w:t>
      </w:r>
      <w:r w:rsidRPr="009B36DD">
        <w:rPr>
          <w:rFonts w:ascii="Calibri" w:hAnsi="Calibri" w:cs="Arial"/>
          <w:b w:val="0"/>
          <w:szCs w:val="24"/>
        </w:rPr>
        <w:br/>
        <w:t>* über 301 m²</w:t>
      </w:r>
      <w:r w:rsidRPr="009B36DD">
        <w:rPr>
          <w:rFonts w:ascii="Calibri" w:hAnsi="Calibri" w:cs="Arial"/>
          <w:b w:val="0"/>
          <w:szCs w:val="24"/>
        </w:rPr>
        <w:tab/>
        <w:t>3,75 EUR</w:t>
      </w:r>
    </w:p>
    <w:p w:rsidR="00040BD7" w:rsidRPr="009B36DD" w:rsidRDefault="00040BD7" w:rsidP="009B36DD">
      <w:pPr>
        <w:pStyle w:val="Textkrper21"/>
        <w:spacing w:line="240" w:lineRule="auto"/>
        <w:jc w:val="left"/>
        <w:rPr>
          <w:rFonts w:ascii="Calibri" w:hAnsi="Calibri" w:cs="Arial"/>
          <w:b w:val="0"/>
          <w:szCs w:val="24"/>
        </w:rPr>
      </w:pPr>
      <w:r w:rsidRPr="009B36DD">
        <w:rPr>
          <w:rFonts w:ascii="Calibri" w:hAnsi="Calibri" w:cs="Arial"/>
          <w:b w:val="0"/>
          <w:szCs w:val="24"/>
        </w:rPr>
        <w:t>pro Quadratmeter</w:t>
      </w:r>
      <w:r w:rsidR="00A2152F">
        <w:rPr>
          <w:rFonts w:ascii="Calibri" w:hAnsi="Calibri" w:cs="Arial"/>
          <w:b w:val="0"/>
          <w:szCs w:val="24"/>
        </w:rPr>
        <w:t xml:space="preserve"> der Bemessungsgrundlage nach Absätze 2 bis 14, mindestens aber 2.215,40 </w:t>
      </w:r>
      <w:r w:rsidRPr="009B36DD">
        <w:rPr>
          <w:rFonts w:ascii="Calibri" w:hAnsi="Calibri" w:cs="Arial"/>
          <w:b w:val="0"/>
          <w:szCs w:val="24"/>
        </w:rPr>
        <w:t xml:space="preserve">Euro. </w:t>
      </w:r>
      <w:r w:rsidRPr="009B36DD">
        <w:rPr>
          <w:rFonts w:ascii="Calibri" w:hAnsi="Calibri" w:cs="Arial"/>
          <w:b w:val="0"/>
          <w:szCs w:val="24"/>
        </w:rPr>
        <w:tab/>
      </w:r>
      <w:r w:rsidRPr="009B36DD">
        <w:rPr>
          <w:rFonts w:ascii="Calibri" w:hAnsi="Calibri" w:cs="Arial"/>
          <w:b w:val="0"/>
          <w:szCs w:val="24"/>
        </w:rPr>
        <w:br/>
      </w:r>
    </w:p>
    <w:p w:rsidR="00040BD7" w:rsidRPr="009B36DD" w:rsidRDefault="00040BD7" w:rsidP="009B36DD">
      <w:pPr>
        <w:pStyle w:val="Textkrper21"/>
        <w:numPr>
          <w:ilvl w:val="0"/>
          <w:numId w:val="14"/>
        </w:numPr>
        <w:spacing w:line="240" w:lineRule="auto"/>
        <w:rPr>
          <w:rFonts w:ascii="Calibri" w:hAnsi="Calibri" w:cs="Arial"/>
          <w:b w:val="0"/>
          <w:szCs w:val="24"/>
        </w:rPr>
      </w:pPr>
      <w:r w:rsidRPr="009B36DD">
        <w:rPr>
          <w:rFonts w:ascii="Calibri" w:hAnsi="Calibri" w:cs="Arial"/>
          <w:b w:val="0"/>
          <w:szCs w:val="24"/>
        </w:rPr>
        <w:t xml:space="preserve">Die Bemessungsgrundlage für bebaute Grundstücke bildet bei eingeschossiger Bebauung die Quadratmeteranzahl der bebauten Grundfläche, bei mehrgeschossiger Bebauung die Summe der bebauten Fläche der einzelnen Geschosse jener Bauten, die einen unmittelbaren oder mittelbaren Anschluss an die Wasserversorgungsanlage aufweisen. Bei der Berechnung ist auf die volle Quadratmeteranzahl abzurunden. Dachräume sowie Dach- und Kellergeschosse werden nur in jenem Ausmaß berücksichtigt, als sie für Wohn-, Geschäfts- oder Betriebszwecke </w:t>
      </w:r>
      <w:proofErr w:type="spellStart"/>
      <w:r w:rsidRPr="009B36DD">
        <w:rPr>
          <w:rFonts w:ascii="Calibri" w:hAnsi="Calibri" w:cs="Arial"/>
          <w:b w:val="0"/>
          <w:szCs w:val="24"/>
        </w:rPr>
        <w:t>benützbar</w:t>
      </w:r>
      <w:proofErr w:type="spellEnd"/>
      <w:r w:rsidRPr="009B36DD">
        <w:rPr>
          <w:rFonts w:ascii="Calibri" w:hAnsi="Calibri" w:cs="Arial"/>
          <w:b w:val="0"/>
          <w:szCs w:val="24"/>
        </w:rPr>
        <w:t xml:space="preserve"> ausgebaut sind. </w:t>
      </w:r>
    </w:p>
    <w:p w:rsidR="00040BD7" w:rsidRPr="009B36DD" w:rsidRDefault="00040BD7" w:rsidP="009B36DD">
      <w:pPr>
        <w:spacing w:after="0" w:line="240" w:lineRule="auto"/>
        <w:jc w:val="both"/>
        <w:rPr>
          <w:rFonts w:ascii="Calibri" w:hAnsi="Calibri" w:cs="Arial"/>
          <w:szCs w:val="24"/>
        </w:rPr>
      </w:pPr>
    </w:p>
    <w:p w:rsidR="00040BD7" w:rsidRPr="009B36DD" w:rsidRDefault="00040BD7" w:rsidP="009B36DD">
      <w:pPr>
        <w:numPr>
          <w:ilvl w:val="0"/>
          <w:numId w:val="11"/>
        </w:numPr>
        <w:spacing w:after="0" w:line="240" w:lineRule="auto"/>
        <w:jc w:val="both"/>
        <w:rPr>
          <w:rFonts w:ascii="Calibri" w:hAnsi="Calibri" w:cs="Arial"/>
          <w:szCs w:val="24"/>
        </w:rPr>
      </w:pPr>
      <w:r w:rsidRPr="009B36DD">
        <w:rPr>
          <w:rFonts w:ascii="Calibri" w:hAnsi="Calibri" w:cs="Arial"/>
          <w:szCs w:val="24"/>
        </w:rPr>
        <w:t xml:space="preserve">Für angeschlossene unbebaute Grundstücke ist die Mindestanschlussgebühr gemäß Abs. 1 zu entrichten. </w:t>
      </w:r>
    </w:p>
    <w:p w:rsidR="00040BD7" w:rsidRPr="009B36DD" w:rsidRDefault="00040BD7" w:rsidP="009B36DD">
      <w:pPr>
        <w:spacing w:after="0" w:line="240" w:lineRule="auto"/>
        <w:ind w:left="1410" w:hanging="1410"/>
        <w:jc w:val="both"/>
        <w:rPr>
          <w:rFonts w:ascii="Calibri" w:hAnsi="Calibri" w:cs="Arial"/>
          <w:i/>
          <w:szCs w:val="24"/>
        </w:rPr>
      </w:pPr>
    </w:p>
    <w:p w:rsidR="00040BD7" w:rsidRPr="009B36DD" w:rsidRDefault="00040BD7" w:rsidP="009B36DD">
      <w:pPr>
        <w:pStyle w:val="Textkrper21"/>
        <w:numPr>
          <w:ilvl w:val="0"/>
          <w:numId w:val="11"/>
        </w:numPr>
        <w:spacing w:line="240" w:lineRule="auto"/>
        <w:rPr>
          <w:rFonts w:ascii="Calibri" w:hAnsi="Calibri" w:cs="Arial"/>
          <w:b w:val="0"/>
          <w:szCs w:val="24"/>
        </w:rPr>
      </w:pPr>
      <w:r w:rsidRPr="009B36DD">
        <w:rPr>
          <w:rFonts w:ascii="Calibri" w:hAnsi="Calibri" w:cs="Arial"/>
          <w:b w:val="0"/>
          <w:szCs w:val="24"/>
        </w:rPr>
        <w:t>In allen Fällen, in denen für ein Grundstück mehr als ein Anschluss an die Wasserversorgungsanlage geschaffen wird, ist für jeden weiteren Anschluss ein Zuschlag</w:t>
      </w:r>
      <w:r w:rsidR="00975DF5">
        <w:rPr>
          <w:rFonts w:ascii="Calibri" w:hAnsi="Calibri" w:cs="Arial"/>
          <w:b w:val="0"/>
          <w:szCs w:val="24"/>
        </w:rPr>
        <w:t xml:space="preserve"> im Ausmaß von 30 % der Mindest</w:t>
      </w:r>
      <w:r w:rsidRPr="009B36DD">
        <w:rPr>
          <w:rFonts w:ascii="Calibri" w:hAnsi="Calibri" w:cs="Arial"/>
          <w:b w:val="0"/>
          <w:szCs w:val="24"/>
        </w:rPr>
        <w:t xml:space="preserve">anschlussgebühr gemäß Abs. 1 zu entrichten. </w:t>
      </w:r>
    </w:p>
    <w:p w:rsidR="00040BD7" w:rsidRPr="009B36DD" w:rsidRDefault="00040BD7" w:rsidP="009B36DD">
      <w:pPr>
        <w:pStyle w:val="Textkrper21"/>
        <w:spacing w:line="240" w:lineRule="auto"/>
        <w:rPr>
          <w:rFonts w:ascii="Calibri" w:hAnsi="Calibri" w:cs="Arial"/>
          <w:b w:val="0"/>
          <w:szCs w:val="24"/>
        </w:rPr>
      </w:pPr>
    </w:p>
    <w:p w:rsidR="00040BD7" w:rsidRPr="009B36DD" w:rsidRDefault="00040BD7" w:rsidP="009B36DD">
      <w:pPr>
        <w:pStyle w:val="Textkrper21"/>
        <w:numPr>
          <w:ilvl w:val="0"/>
          <w:numId w:val="11"/>
        </w:numPr>
        <w:spacing w:line="240" w:lineRule="auto"/>
        <w:rPr>
          <w:rFonts w:ascii="Calibri" w:hAnsi="Calibri" w:cs="Arial"/>
          <w:b w:val="0"/>
          <w:szCs w:val="24"/>
        </w:rPr>
      </w:pPr>
      <w:r w:rsidRPr="009B36DD">
        <w:rPr>
          <w:rFonts w:ascii="Calibri" w:hAnsi="Calibri" w:cs="Arial"/>
          <w:b w:val="0"/>
          <w:szCs w:val="24"/>
        </w:rPr>
        <w:t>Bei nachträglichen Abänderungen der angeschlossenen Grundstücke ist eine ergänzende Wasser</w:t>
      </w:r>
      <w:r w:rsidRPr="009B36DD">
        <w:rPr>
          <w:rFonts w:ascii="Calibri" w:hAnsi="Calibri" w:cs="Arial"/>
          <w:b w:val="0"/>
          <w:szCs w:val="24"/>
        </w:rPr>
        <w:softHyphen/>
        <w:t xml:space="preserve">anschlussgebühr zu entrichten, die im Sinn der obigen Bestimmungen mit folgender Maßgabe errechnet wird: </w:t>
      </w:r>
    </w:p>
    <w:p w:rsidR="00040BD7" w:rsidRPr="009B36DD" w:rsidRDefault="00040BD7" w:rsidP="009B36DD">
      <w:pPr>
        <w:numPr>
          <w:ilvl w:val="0"/>
          <w:numId w:val="12"/>
        </w:numPr>
        <w:spacing w:after="0" w:line="240" w:lineRule="auto"/>
        <w:ind w:left="850" w:hanging="425"/>
        <w:jc w:val="both"/>
        <w:rPr>
          <w:rFonts w:ascii="Calibri" w:hAnsi="Calibri" w:cs="Arial"/>
          <w:szCs w:val="24"/>
        </w:rPr>
      </w:pPr>
      <w:r w:rsidRPr="009B36DD">
        <w:rPr>
          <w:rFonts w:ascii="Calibri" w:hAnsi="Calibri" w:cs="Arial"/>
          <w:szCs w:val="24"/>
        </w:rPr>
        <w:t>Wird auf einem unbebauten Grundstück ein Gebäude errichtet,</w:t>
      </w:r>
      <w:r w:rsidR="004B1EB5">
        <w:rPr>
          <w:rFonts w:ascii="Calibri" w:hAnsi="Calibri" w:cs="Arial"/>
          <w:szCs w:val="24"/>
        </w:rPr>
        <w:t xml:space="preserve"> ist von der ermittelten Wasser</w:t>
      </w:r>
      <w:r w:rsidRPr="009B36DD">
        <w:rPr>
          <w:rFonts w:ascii="Calibri" w:hAnsi="Calibri" w:cs="Arial"/>
          <w:szCs w:val="24"/>
        </w:rPr>
        <w:t>anschlussgebühr die nach dieser Gebührenordnung für das betreffende unbebaute Grundstück sich ergebende Wasseranschlussgebühr abzusetzen, wenn für den Anschluss des betreffenden unbebauten Grundstückes vom Grundstückseigentümer oder dessen Vorgänger bereits eine Wasseranschlussgebühr oder ein Entgelt für den Anschluss an die Wasserversorgungsanlage entrichtet wurde.</w:t>
      </w:r>
    </w:p>
    <w:p w:rsidR="00040BD7" w:rsidRPr="009B36DD" w:rsidRDefault="00040BD7" w:rsidP="009B36DD">
      <w:pPr>
        <w:numPr>
          <w:ilvl w:val="0"/>
          <w:numId w:val="12"/>
        </w:numPr>
        <w:spacing w:after="0" w:line="240" w:lineRule="auto"/>
        <w:ind w:left="850" w:hanging="425"/>
        <w:jc w:val="both"/>
        <w:rPr>
          <w:rFonts w:ascii="Calibri" w:hAnsi="Calibri" w:cs="Arial"/>
          <w:szCs w:val="24"/>
        </w:rPr>
      </w:pPr>
      <w:r w:rsidRPr="009B36DD">
        <w:rPr>
          <w:rFonts w:ascii="Calibri" w:hAnsi="Calibri" w:cs="Arial"/>
          <w:szCs w:val="24"/>
        </w:rPr>
        <w:t>Tritt durch die Änderung an einem angeschlossenen bebauten Grundstück eine Vergrößerung der Berechnungsgrundlage gemäß Abs. 2 ein (insbesondere durch Zu- und Umbau, bei Neubau nach Abbruch, bei Änderung des Verwendungszwecks sowie Errichtung eines weiteren Gebäudes), ist die Wasseranschlussgebühr in diesem Umfang zu entrichten, sofern die der Mindestanschluss</w:t>
      </w:r>
      <w:r w:rsidRPr="009B36DD">
        <w:rPr>
          <w:rFonts w:ascii="Calibri" w:hAnsi="Calibri" w:cs="Arial"/>
          <w:szCs w:val="24"/>
        </w:rPr>
        <w:softHyphen/>
        <w:t xml:space="preserve">gebühr entsprechende Fläche überschritten wird. </w:t>
      </w:r>
    </w:p>
    <w:p w:rsidR="000549C9" w:rsidRDefault="00040BD7" w:rsidP="00B71C85">
      <w:pPr>
        <w:numPr>
          <w:ilvl w:val="0"/>
          <w:numId w:val="12"/>
        </w:numPr>
        <w:spacing w:after="0" w:line="240" w:lineRule="auto"/>
        <w:ind w:left="850" w:hanging="425"/>
        <w:jc w:val="both"/>
        <w:rPr>
          <w:rFonts w:ascii="Calibri" w:hAnsi="Calibri" w:cs="Arial"/>
          <w:szCs w:val="24"/>
        </w:rPr>
      </w:pPr>
      <w:r w:rsidRPr="000549C9">
        <w:rPr>
          <w:rFonts w:ascii="Calibri" w:hAnsi="Calibri" w:cs="Arial"/>
          <w:szCs w:val="24"/>
        </w:rPr>
        <w:t>Eine Rückzahlung bereits entrichteter Wasseranschlussgebühren aufgrund einer Neuberechnung nach diesem Absatz findet nicht statt.</w:t>
      </w:r>
    </w:p>
    <w:p w:rsidR="000549C9" w:rsidRDefault="000549C9" w:rsidP="000549C9">
      <w:pPr>
        <w:spacing w:after="0" w:line="240" w:lineRule="auto"/>
        <w:ind w:left="850"/>
        <w:jc w:val="both"/>
        <w:rPr>
          <w:rFonts w:ascii="Calibri" w:hAnsi="Calibri" w:cs="Arial"/>
          <w:szCs w:val="24"/>
        </w:rPr>
      </w:pPr>
    </w:p>
    <w:p w:rsidR="000549C9" w:rsidRDefault="002002ED" w:rsidP="002002ED">
      <w:pPr>
        <w:tabs>
          <w:tab w:val="left" w:pos="426"/>
        </w:tabs>
        <w:spacing w:after="0" w:line="240" w:lineRule="auto"/>
        <w:jc w:val="both"/>
        <w:rPr>
          <w:rFonts w:ascii="Calibri" w:hAnsi="Calibri" w:cs="Arial"/>
          <w:szCs w:val="24"/>
        </w:rPr>
      </w:pPr>
      <w:r>
        <w:rPr>
          <w:rFonts w:ascii="Calibri" w:hAnsi="Calibri" w:cs="Arial"/>
          <w:szCs w:val="24"/>
        </w:rPr>
        <w:t xml:space="preserve">(6) </w:t>
      </w:r>
      <w:r>
        <w:rPr>
          <w:rFonts w:ascii="Calibri" w:hAnsi="Calibri" w:cs="Arial"/>
          <w:szCs w:val="24"/>
        </w:rPr>
        <w:tab/>
      </w:r>
      <w:r w:rsidR="000549C9" w:rsidRPr="000549C9">
        <w:rPr>
          <w:rFonts w:ascii="Calibri" w:hAnsi="Calibri" w:cs="Arial"/>
          <w:szCs w:val="24"/>
        </w:rPr>
        <w:t>Bei land- und forstwirtschaftlichen Betrieben sind nur jene beb</w:t>
      </w:r>
      <w:r w:rsidR="000549C9">
        <w:rPr>
          <w:rFonts w:ascii="Calibri" w:hAnsi="Calibri" w:cs="Arial"/>
          <w:szCs w:val="24"/>
        </w:rPr>
        <w:t>auten Flächen in die Bemessungs</w:t>
      </w:r>
      <w:r w:rsidR="000549C9" w:rsidRPr="000549C9">
        <w:rPr>
          <w:rFonts w:ascii="Calibri" w:hAnsi="Calibri" w:cs="Arial"/>
          <w:szCs w:val="24"/>
        </w:rPr>
        <w:t xml:space="preserve">grundlage einzubeziehen, die für Wohnzwecke bestimmt sind (Wohntrakt), sofern auch nur diese Bereiche aus der Wasserversorgungsanlage versorgt werden. </w:t>
      </w:r>
    </w:p>
    <w:p w:rsidR="000549C9" w:rsidRPr="000549C9" w:rsidRDefault="000549C9" w:rsidP="000549C9">
      <w:pPr>
        <w:spacing w:after="0" w:line="240" w:lineRule="auto"/>
        <w:jc w:val="both"/>
        <w:rPr>
          <w:rFonts w:ascii="Calibri" w:hAnsi="Calibri" w:cs="Arial"/>
          <w:szCs w:val="24"/>
        </w:rPr>
      </w:pPr>
    </w:p>
    <w:p w:rsidR="000549C9" w:rsidRDefault="000549C9" w:rsidP="000549C9">
      <w:pPr>
        <w:spacing w:after="0" w:line="240" w:lineRule="auto"/>
        <w:jc w:val="both"/>
        <w:rPr>
          <w:rFonts w:ascii="Calibri" w:hAnsi="Calibri" w:cs="Arial"/>
          <w:szCs w:val="24"/>
        </w:rPr>
      </w:pPr>
      <w:r>
        <w:rPr>
          <w:rFonts w:ascii="Calibri" w:hAnsi="Calibri" w:cs="Arial"/>
          <w:szCs w:val="24"/>
        </w:rPr>
        <w:t xml:space="preserve">(7) </w:t>
      </w:r>
      <w:r w:rsidRPr="000549C9">
        <w:rPr>
          <w:rFonts w:ascii="Calibri" w:hAnsi="Calibri" w:cs="Arial"/>
          <w:szCs w:val="24"/>
        </w:rPr>
        <w:t>Werden Milchkammern, Futterküchen, Wirtschaftsräume, Kühlräume sowie Verarbeitungsräume für Fleisch- und Milchprodukte eines land- und forstwirtschaft</w:t>
      </w:r>
      <w:r>
        <w:rPr>
          <w:rFonts w:ascii="Calibri" w:hAnsi="Calibri" w:cs="Arial"/>
          <w:szCs w:val="24"/>
        </w:rPr>
        <w:t>lichen Betriebes aus der Wasser</w:t>
      </w:r>
      <w:r w:rsidRPr="000549C9">
        <w:rPr>
          <w:rFonts w:ascii="Calibri" w:hAnsi="Calibri" w:cs="Arial"/>
          <w:szCs w:val="24"/>
        </w:rPr>
        <w:t xml:space="preserve">versorgungsanlage versorgt, so sind diese in die Bemessungsgrundlage einzubeziehen. </w:t>
      </w:r>
    </w:p>
    <w:p w:rsidR="000549C9" w:rsidRPr="000549C9" w:rsidRDefault="000549C9" w:rsidP="000549C9">
      <w:pPr>
        <w:spacing w:after="0" w:line="240" w:lineRule="auto"/>
        <w:jc w:val="both"/>
        <w:rPr>
          <w:rFonts w:ascii="Calibri" w:hAnsi="Calibri" w:cs="Arial"/>
          <w:szCs w:val="24"/>
        </w:rPr>
      </w:pPr>
    </w:p>
    <w:p w:rsidR="000549C9" w:rsidRDefault="000549C9" w:rsidP="000549C9">
      <w:pPr>
        <w:spacing w:after="0" w:line="240" w:lineRule="auto"/>
        <w:jc w:val="both"/>
        <w:rPr>
          <w:rFonts w:ascii="Calibri" w:hAnsi="Calibri" w:cs="Arial"/>
          <w:szCs w:val="24"/>
        </w:rPr>
      </w:pPr>
      <w:r>
        <w:rPr>
          <w:rFonts w:ascii="Calibri" w:hAnsi="Calibri" w:cs="Arial"/>
          <w:szCs w:val="24"/>
        </w:rPr>
        <w:t xml:space="preserve">(8) </w:t>
      </w:r>
      <w:r>
        <w:rPr>
          <w:rFonts w:ascii="Calibri" w:hAnsi="Calibri" w:cs="Arial"/>
          <w:szCs w:val="24"/>
        </w:rPr>
        <w:tab/>
      </w:r>
      <w:r w:rsidRPr="000549C9">
        <w:rPr>
          <w:rFonts w:ascii="Calibri" w:hAnsi="Calibri" w:cs="Arial"/>
          <w:szCs w:val="24"/>
        </w:rPr>
        <w:t>Wird zusätzlich der Wirtschaftstrakt eines land- und forstwirtschaft</w:t>
      </w:r>
      <w:r>
        <w:rPr>
          <w:rFonts w:ascii="Calibri" w:hAnsi="Calibri" w:cs="Arial"/>
          <w:szCs w:val="24"/>
        </w:rPr>
        <w:t>lichen Betriebes aus der Wasser</w:t>
      </w:r>
      <w:r w:rsidRPr="000549C9">
        <w:rPr>
          <w:rFonts w:ascii="Calibri" w:hAnsi="Calibri" w:cs="Arial"/>
          <w:szCs w:val="24"/>
        </w:rPr>
        <w:t>versorgungsanlage versorgt, zählen zur Bemessungsgrundlage zus</w:t>
      </w:r>
      <w:r>
        <w:rPr>
          <w:rFonts w:ascii="Calibri" w:hAnsi="Calibri" w:cs="Arial"/>
          <w:szCs w:val="24"/>
        </w:rPr>
        <w:t>ätzlich 10 % der bebauten Grund</w:t>
      </w:r>
      <w:r w:rsidRPr="000549C9">
        <w:rPr>
          <w:rFonts w:ascii="Calibri" w:hAnsi="Calibri" w:cs="Arial"/>
          <w:szCs w:val="24"/>
        </w:rPr>
        <w:t xml:space="preserve">fläche des Wirtschaftstraktes unter der Annahme der eingeschossigen Bebauung. </w:t>
      </w:r>
    </w:p>
    <w:p w:rsidR="000549C9" w:rsidRPr="000549C9" w:rsidRDefault="000549C9" w:rsidP="000549C9">
      <w:pPr>
        <w:spacing w:after="0" w:line="240" w:lineRule="auto"/>
        <w:jc w:val="both"/>
        <w:rPr>
          <w:rFonts w:ascii="Calibri" w:hAnsi="Calibri" w:cs="Arial"/>
          <w:szCs w:val="24"/>
        </w:rPr>
      </w:pPr>
    </w:p>
    <w:p w:rsidR="000549C9" w:rsidRPr="000549C9" w:rsidRDefault="000549C9" w:rsidP="000549C9">
      <w:pPr>
        <w:spacing w:after="0" w:line="240" w:lineRule="auto"/>
        <w:jc w:val="both"/>
        <w:rPr>
          <w:rFonts w:ascii="Calibri" w:hAnsi="Calibri" w:cs="Arial"/>
          <w:szCs w:val="24"/>
        </w:rPr>
      </w:pPr>
      <w:r>
        <w:rPr>
          <w:rFonts w:ascii="Calibri" w:hAnsi="Calibri" w:cs="Arial"/>
          <w:szCs w:val="24"/>
        </w:rPr>
        <w:t xml:space="preserve">(9) </w:t>
      </w:r>
      <w:r w:rsidRPr="000549C9">
        <w:rPr>
          <w:rFonts w:ascii="Calibri" w:hAnsi="Calibri" w:cs="Arial"/>
          <w:szCs w:val="24"/>
        </w:rPr>
        <w:t xml:space="preserve">Garagen, sofern sie nicht gewerblich genutzt werden, zählen nicht zur Bemessungsgrundlage. </w:t>
      </w:r>
    </w:p>
    <w:p w:rsidR="000549C9" w:rsidRDefault="000549C9" w:rsidP="000549C9">
      <w:pPr>
        <w:spacing w:after="0" w:line="240" w:lineRule="auto"/>
        <w:jc w:val="both"/>
        <w:rPr>
          <w:rFonts w:ascii="Calibri" w:hAnsi="Calibri" w:cs="Arial"/>
          <w:szCs w:val="24"/>
        </w:rPr>
      </w:pPr>
    </w:p>
    <w:p w:rsidR="000549C9" w:rsidRDefault="000549C9" w:rsidP="000549C9">
      <w:pPr>
        <w:spacing w:after="0" w:line="240" w:lineRule="auto"/>
        <w:jc w:val="both"/>
        <w:rPr>
          <w:rFonts w:ascii="Calibri" w:hAnsi="Calibri" w:cs="Arial"/>
          <w:szCs w:val="24"/>
        </w:rPr>
      </w:pPr>
      <w:r>
        <w:rPr>
          <w:rFonts w:ascii="Calibri" w:hAnsi="Calibri" w:cs="Arial"/>
          <w:szCs w:val="24"/>
        </w:rPr>
        <w:t xml:space="preserve">(10) </w:t>
      </w:r>
      <w:r>
        <w:rPr>
          <w:rFonts w:ascii="Calibri" w:hAnsi="Calibri" w:cs="Arial"/>
          <w:szCs w:val="24"/>
        </w:rPr>
        <w:tab/>
      </w:r>
      <w:r w:rsidRPr="000549C9">
        <w:rPr>
          <w:rFonts w:ascii="Calibri" w:hAnsi="Calibri" w:cs="Arial"/>
          <w:szCs w:val="24"/>
        </w:rPr>
        <w:t>Nebengebäude, wenn sie nicht zu Wohnzwecken ausgebaut und auch nicht Teil eines Betriebes gewerblicher Art sind, zählen nicht zur Bemessungsgrundlage.</w:t>
      </w:r>
    </w:p>
    <w:p w:rsidR="000549C9" w:rsidRPr="000549C9" w:rsidRDefault="000549C9" w:rsidP="000549C9">
      <w:pPr>
        <w:spacing w:after="0" w:line="240" w:lineRule="auto"/>
        <w:jc w:val="both"/>
        <w:rPr>
          <w:rFonts w:ascii="Calibri" w:hAnsi="Calibri" w:cs="Arial"/>
          <w:szCs w:val="24"/>
        </w:rPr>
      </w:pPr>
    </w:p>
    <w:p w:rsidR="000549C9" w:rsidRDefault="000549C9" w:rsidP="000549C9">
      <w:pPr>
        <w:spacing w:after="0" w:line="240" w:lineRule="auto"/>
        <w:jc w:val="both"/>
        <w:rPr>
          <w:rFonts w:ascii="Calibri" w:hAnsi="Calibri" w:cs="Arial"/>
          <w:szCs w:val="24"/>
        </w:rPr>
      </w:pPr>
      <w:r>
        <w:rPr>
          <w:rFonts w:ascii="Calibri" w:hAnsi="Calibri" w:cs="Arial"/>
          <w:szCs w:val="24"/>
        </w:rPr>
        <w:t xml:space="preserve">(11) </w:t>
      </w:r>
      <w:r>
        <w:rPr>
          <w:rFonts w:ascii="Calibri" w:hAnsi="Calibri" w:cs="Arial"/>
          <w:szCs w:val="24"/>
        </w:rPr>
        <w:tab/>
        <w:t>Kellerbars, Saunen, Waschküchen und</w:t>
      </w:r>
      <w:r w:rsidRPr="000549C9">
        <w:rPr>
          <w:rFonts w:ascii="Calibri" w:hAnsi="Calibri" w:cs="Arial"/>
          <w:szCs w:val="24"/>
        </w:rPr>
        <w:t xml:space="preserve"> Hobbyräume zählen zur Bemessungsgrundlage.</w:t>
      </w:r>
    </w:p>
    <w:p w:rsidR="000549C9" w:rsidRPr="000549C9" w:rsidRDefault="000549C9" w:rsidP="000549C9">
      <w:pPr>
        <w:spacing w:after="0" w:line="240" w:lineRule="auto"/>
        <w:jc w:val="both"/>
        <w:rPr>
          <w:rFonts w:ascii="Calibri" w:hAnsi="Calibri" w:cs="Arial"/>
          <w:szCs w:val="24"/>
        </w:rPr>
      </w:pPr>
    </w:p>
    <w:p w:rsidR="000549C9" w:rsidRDefault="000549C9" w:rsidP="000549C9">
      <w:pPr>
        <w:spacing w:after="0" w:line="240" w:lineRule="auto"/>
        <w:jc w:val="both"/>
        <w:rPr>
          <w:rFonts w:ascii="Calibri" w:hAnsi="Calibri" w:cs="Arial"/>
          <w:szCs w:val="24"/>
        </w:rPr>
      </w:pPr>
      <w:r>
        <w:rPr>
          <w:rFonts w:ascii="Calibri" w:hAnsi="Calibri" w:cs="Arial"/>
          <w:szCs w:val="24"/>
        </w:rPr>
        <w:t>(12)</w:t>
      </w:r>
      <w:r>
        <w:rPr>
          <w:rFonts w:ascii="Calibri" w:hAnsi="Calibri" w:cs="Arial"/>
          <w:szCs w:val="24"/>
        </w:rPr>
        <w:tab/>
      </w:r>
      <w:r w:rsidRPr="000549C9">
        <w:rPr>
          <w:rFonts w:ascii="Calibri" w:hAnsi="Calibri" w:cs="Arial"/>
          <w:szCs w:val="24"/>
        </w:rPr>
        <w:t>Balkone, Terrassen und Wintergärten zählen nicht zur Bemessungsgrundlage.</w:t>
      </w:r>
    </w:p>
    <w:p w:rsidR="000549C9" w:rsidRPr="000549C9" w:rsidRDefault="000549C9" w:rsidP="000549C9">
      <w:pPr>
        <w:spacing w:after="0" w:line="240" w:lineRule="auto"/>
        <w:jc w:val="both"/>
        <w:rPr>
          <w:rFonts w:ascii="Calibri" w:hAnsi="Calibri" w:cs="Arial"/>
          <w:szCs w:val="24"/>
        </w:rPr>
      </w:pPr>
    </w:p>
    <w:p w:rsidR="009B36DD" w:rsidRDefault="000549C9" w:rsidP="000549C9">
      <w:pPr>
        <w:spacing w:after="0" w:line="240" w:lineRule="auto"/>
        <w:jc w:val="both"/>
        <w:rPr>
          <w:rFonts w:ascii="Calibri" w:hAnsi="Calibri" w:cs="Arial"/>
          <w:szCs w:val="24"/>
        </w:rPr>
      </w:pPr>
      <w:r>
        <w:rPr>
          <w:rFonts w:ascii="Calibri" w:hAnsi="Calibri" w:cs="Arial"/>
          <w:szCs w:val="24"/>
        </w:rPr>
        <w:t xml:space="preserve">(13) </w:t>
      </w:r>
      <w:r>
        <w:rPr>
          <w:rFonts w:ascii="Calibri" w:hAnsi="Calibri" w:cs="Arial"/>
          <w:szCs w:val="24"/>
        </w:rPr>
        <w:tab/>
      </w:r>
      <w:r w:rsidRPr="000549C9">
        <w:rPr>
          <w:rFonts w:ascii="Calibri" w:hAnsi="Calibri" w:cs="Arial"/>
          <w:szCs w:val="24"/>
        </w:rPr>
        <w:t>Heizräume, Technikräume, Brennstofflagerräume sowie Schutzräume zählen nicht zur Bemessungsgrundlage.</w:t>
      </w:r>
    </w:p>
    <w:p w:rsidR="00A2152F" w:rsidRDefault="00A2152F" w:rsidP="00A2152F">
      <w:pPr>
        <w:spacing w:after="0" w:line="240" w:lineRule="auto"/>
        <w:jc w:val="both"/>
        <w:rPr>
          <w:rFonts w:ascii="Calibri" w:hAnsi="Calibri" w:cs="Arial"/>
          <w:szCs w:val="24"/>
        </w:rPr>
      </w:pPr>
      <w:r>
        <w:rPr>
          <w:rFonts w:ascii="Calibri" w:hAnsi="Calibri" w:cs="Arial"/>
          <w:szCs w:val="24"/>
        </w:rPr>
        <w:lastRenderedPageBreak/>
        <w:t>(14)</w:t>
      </w:r>
      <w:r>
        <w:rPr>
          <w:rFonts w:ascii="Calibri" w:hAnsi="Calibri" w:cs="Arial"/>
          <w:szCs w:val="24"/>
        </w:rPr>
        <w:tab/>
      </w:r>
      <w:r w:rsidR="004B1EB5">
        <w:rPr>
          <w:rFonts w:ascii="Calibri" w:hAnsi="Calibri" w:cs="Arial"/>
          <w:szCs w:val="24"/>
        </w:rPr>
        <w:t>A</w:t>
      </w:r>
      <w:r>
        <w:rPr>
          <w:rFonts w:ascii="Calibri" w:hAnsi="Calibri" w:cs="Arial"/>
          <w:szCs w:val="24"/>
        </w:rPr>
        <w:t xml:space="preserve">usschließlich </w:t>
      </w:r>
      <w:r w:rsidR="004B1EB5">
        <w:rPr>
          <w:rFonts w:ascii="Calibri" w:hAnsi="Calibri" w:cs="Arial"/>
          <w:szCs w:val="24"/>
        </w:rPr>
        <w:t xml:space="preserve">für </w:t>
      </w:r>
      <w:r>
        <w:rPr>
          <w:rFonts w:ascii="Calibri" w:hAnsi="Calibri" w:cs="Arial"/>
          <w:szCs w:val="24"/>
        </w:rPr>
        <w:t xml:space="preserve">gewerbliche Zwecke dienende Flächen </w:t>
      </w:r>
      <w:r w:rsidR="00ED7E20">
        <w:rPr>
          <w:rFonts w:ascii="Calibri" w:hAnsi="Calibri" w:cs="Arial"/>
          <w:szCs w:val="24"/>
        </w:rPr>
        <w:t>und</w:t>
      </w:r>
      <w:r>
        <w:rPr>
          <w:rFonts w:ascii="Calibri" w:hAnsi="Calibri" w:cs="Arial"/>
          <w:szCs w:val="24"/>
        </w:rPr>
        <w:t xml:space="preserve"> gewerbliche Lagerflächen</w:t>
      </w:r>
      <w:r w:rsidR="004B1EB5">
        <w:rPr>
          <w:rFonts w:ascii="Calibri" w:hAnsi="Calibri" w:cs="Arial"/>
          <w:szCs w:val="24"/>
        </w:rPr>
        <w:t>,</w:t>
      </w:r>
      <w:r>
        <w:rPr>
          <w:rFonts w:ascii="Calibri" w:hAnsi="Calibri" w:cs="Arial"/>
          <w:szCs w:val="24"/>
        </w:rPr>
        <w:t xml:space="preserve"> </w:t>
      </w:r>
      <w:r w:rsidR="00ED7E20">
        <w:rPr>
          <w:rFonts w:ascii="Calibri" w:hAnsi="Calibri" w:cs="Arial"/>
          <w:szCs w:val="24"/>
        </w:rPr>
        <w:t>in denen jeweils</w:t>
      </w:r>
      <w:r>
        <w:rPr>
          <w:rFonts w:ascii="Calibri" w:hAnsi="Calibri" w:cs="Arial"/>
          <w:szCs w:val="24"/>
        </w:rPr>
        <w:t xml:space="preserve"> kein</w:t>
      </w:r>
      <w:r w:rsidR="00ED7E20">
        <w:rPr>
          <w:rFonts w:ascii="Calibri" w:hAnsi="Calibri" w:cs="Arial"/>
          <w:szCs w:val="24"/>
        </w:rPr>
        <w:t>e</w:t>
      </w:r>
      <w:r>
        <w:rPr>
          <w:rFonts w:ascii="Calibri" w:hAnsi="Calibri" w:cs="Arial"/>
          <w:szCs w:val="24"/>
        </w:rPr>
        <w:t xml:space="preserve"> Wasser</w:t>
      </w:r>
      <w:r w:rsidR="00ED7E20">
        <w:rPr>
          <w:rFonts w:ascii="Calibri" w:hAnsi="Calibri" w:cs="Arial"/>
          <w:szCs w:val="24"/>
        </w:rPr>
        <w:t>entnahmemöglichkeit</w:t>
      </w:r>
      <w:r>
        <w:rPr>
          <w:rFonts w:ascii="Calibri" w:hAnsi="Calibri" w:cs="Arial"/>
          <w:szCs w:val="24"/>
        </w:rPr>
        <w:t xml:space="preserve"> </w:t>
      </w:r>
      <w:r w:rsidR="00ED7E20">
        <w:rPr>
          <w:rFonts w:ascii="Calibri" w:hAnsi="Calibri" w:cs="Arial"/>
          <w:szCs w:val="24"/>
        </w:rPr>
        <w:t>besteht</w:t>
      </w:r>
      <w:r>
        <w:rPr>
          <w:rFonts w:ascii="Calibri" w:hAnsi="Calibri" w:cs="Arial"/>
          <w:szCs w:val="24"/>
        </w:rPr>
        <w:t xml:space="preserve">, </w:t>
      </w:r>
      <w:r w:rsidR="004B1EB5">
        <w:rPr>
          <w:rFonts w:ascii="Calibri" w:hAnsi="Calibri" w:cs="Arial"/>
          <w:szCs w:val="24"/>
        </w:rPr>
        <w:t>zählen nicht zur Bemessungsgrundlage.</w:t>
      </w:r>
    </w:p>
    <w:p w:rsidR="00A2152F" w:rsidRDefault="00A2152F" w:rsidP="009B36DD">
      <w:pPr>
        <w:spacing w:after="0" w:line="240" w:lineRule="auto"/>
        <w:jc w:val="both"/>
        <w:rPr>
          <w:rFonts w:ascii="Calibri" w:hAnsi="Calibri" w:cs="Arial"/>
          <w:szCs w:val="24"/>
        </w:rPr>
      </w:pPr>
    </w:p>
    <w:p w:rsidR="00A2152F" w:rsidRPr="009B36DD" w:rsidRDefault="00A2152F" w:rsidP="009B36DD">
      <w:pPr>
        <w:spacing w:after="0" w:line="240" w:lineRule="auto"/>
        <w:jc w:val="both"/>
        <w:rPr>
          <w:rFonts w:ascii="Calibri" w:hAnsi="Calibri" w:cs="Arial"/>
          <w:szCs w:val="24"/>
        </w:rPr>
      </w:pPr>
    </w:p>
    <w:p w:rsidR="00040BD7" w:rsidRPr="009B36DD" w:rsidRDefault="000549C9" w:rsidP="009B36DD">
      <w:pPr>
        <w:spacing w:after="0" w:line="240" w:lineRule="auto"/>
        <w:jc w:val="center"/>
        <w:rPr>
          <w:rFonts w:ascii="Calibri" w:hAnsi="Calibri" w:cs="Arial"/>
          <w:b/>
          <w:szCs w:val="24"/>
        </w:rPr>
      </w:pPr>
      <w:r>
        <w:rPr>
          <w:rFonts w:ascii="Calibri" w:hAnsi="Calibri" w:cs="Arial"/>
          <w:b/>
          <w:szCs w:val="24"/>
        </w:rPr>
        <w:t>§ 3</w:t>
      </w:r>
    </w:p>
    <w:p w:rsidR="00040BD7" w:rsidRPr="009B36DD" w:rsidRDefault="00040BD7" w:rsidP="009B36DD">
      <w:pPr>
        <w:pStyle w:val="berschrift1"/>
        <w:spacing w:before="0" w:line="240" w:lineRule="auto"/>
        <w:jc w:val="center"/>
        <w:rPr>
          <w:rFonts w:ascii="Calibri" w:hAnsi="Calibri" w:cs="Arial"/>
          <w:sz w:val="24"/>
          <w:szCs w:val="24"/>
        </w:rPr>
      </w:pPr>
      <w:r w:rsidRPr="009B36DD">
        <w:rPr>
          <w:rFonts w:ascii="Calibri" w:hAnsi="Calibri" w:cs="Arial"/>
          <w:sz w:val="24"/>
          <w:szCs w:val="24"/>
        </w:rPr>
        <w:t>Wasserbenützungsgebühren</w:t>
      </w:r>
    </w:p>
    <w:p w:rsidR="00040BD7" w:rsidRPr="009B36DD" w:rsidRDefault="00040BD7" w:rsidP="009B36DD">
      <w:pPr>
        <w:spacing w:after="0" w:line="240" w:lineRule="auto"/>
        <w:jc w:val="both"/>
        <w:rPr>
          <w:rFonts w:ascii="Calibri" w:hAnsi="Calibri" w:cs="Arial"/>
          <w:szCs w:val="24"/>
        </w:rPr>
      </w:pPr>
    </w:p>
    <w:p w:rsidR="00040BD7" w:rsidRPr="009B36DD" w:rsidRDefault="000549C9" w:rsidP="009B36DD">
      <w:pPr>
        <w:pStyle w:val="Textkrper"/>
        <w:numPr>
          <w:ilvl w:val="0"/>
          <w:numId w:val="15"/>
        </w:numPr>
        <w:rPr>
          <w:rFonts w:ascii="Calibri" w:hAnsi="Calibri" w:cs="Arial"/>
          <w:b w:val="0"/>
          <w:sz w:val="24"/>
          <w:szCs w:val="24"/>
        </w:rPr>
      </w:pPr>
      <w:r>
        <w:rPr>
          <w:rFonts w:ascii="Calibri" w:hAnsi="Calibri" w:cs="Arial"/>
          <w:b w:val="0"/>
          <w:sz w:val="24"/>
          <w:szCs w:val="24"/>
        </w:rPr>
        <w:t>Der</w:t>
      </w:r>
      <w:r w:rsidR="00040BD7" w:rsidRPr="009B36DD">
        <w:rPr>
          <w:rFonts w:ascii="Calibri" w:hAnsi="Calibri" w:cs="Arial"/>
          <w:b w:val="0"/>
          <w:sz w:val="24"/>
          <w:szCs w:val="24"/>
        </w:rPr>
        <w:t xml:space="preserve"> </w:t>
      </w:r>
      <w:r>
        <w:rPr>
          <w:rFonts w:ascii="Calibri" w:hAnsi="Calibri" w:cs="Arial"/>
          <w:b w:val="0"/>
          <w:sz w:val="24"/>
          <w:szCs w:val="24"/>
        </w:rPr>
        <w:t>Gebührenpflichtige</w:t>
      </w:r>
      <w:r w:rsidR="00040BD7" w:rsidRPr="009B36DD">
        <w:rPr>
          <w:rFonts w:ascii="Calibri" w:hAnsi="Calibri" w:cs="Arial"/>
          <w:b w:val="0"/>
          <w:sz w:val="24"/>
          <w:szCs w:val="24"/>
        </w:rPr>
        <w:t xml:space="preserve"> gemäß § 1 </w:t>
      </w:r>
      <w:r w:rsidR="00B71C85">
        <w:rPr>
          <w:rFonts w:ascii="Calibri" w:hAnsi="Calibri" w:cs="Arial"/>
          <w:b w:val="0"/>
          <w:sz w:val="24"/>
          <w:szCs w:val="24"/>
        </w:rPr>
        <w:t>hat</w:t>
      </w:r>
      <w:r w:rsidR="00040BD7" w:rsidRPr="009B36DD">
        <w:rPr>
          <w:rFonts w:ascii="Calibri" w:hAnsi="Calibri" w:cs="Arial"/>
          <w:b w:val="0"/>
          <w:sz w:val="24"/>
          <w:szCs w:val="24"/>
        </w:rPr>
        <w:t xml:space="preserve"> eine jährliche Wassergebühr zu entrichten.</w:t>
      </w:r>
    </w:p>
    <w:p w:rsidR="00040BD7" w:rsidRPr="009B36DD" w:rsidRDefault="00040BD7" w:rsidP="009B36DD">
      <w:pPr>
        <w:pStyle w:val="Textkrper"/>
        <w:rPr>
          <w:rFonts w:ascii="Calibri" w:hAnsi="Calibri" w:cs="Arial"/>
          <w:b w:val="0"/>
          <w:sz w:val="24"/>
          <w:szCs w:val="24"/>
        </w:rPr>
      </w:pPr>
    </w:p>
    <w:p w:rsidR="00040BD7" w:rsidRPr="009B36DD" w:rsidRDefault="00040BD7" w:rsidP="009B36DD">
      <w:pPr>
        <w:pStyle w:val="Textkrper"/>
        <w:numPr>
          <w:ilvl w:val="0"/>
          <w:numId w:val="15"/>
        </w:numPr>
        <w:rPr>
          <w:rFonts w:ascii="Calibri" w:hAnsi="Calibri" w:cs="Arial"/>
          <w:b w:val="0"/>
          <w:sz w:val="24"/>
          <w:szCs w:val="24"/>
        </w:rPr>
      </w:pPr>
      <w:r w:rsidRPr="009B36DD">
        <w:rPr>
          <w:rFonts w:ascii="Calibri" w:hAnsi="Calibri" w:cs="Arial"/>
          <w:b w:val="0"/>
          <w:sz w:val="24"/>
          <w:szCs w:val="24"/>
        </w:rPr>
        <w:t xml:space="preserve">Für die Abgeltung der vom tatsächlichen Wasserverbrauch unabhängigen Kosten wird eine Grundgebühr in Höhe von 35 m³ des aktuellen </w:t>
      </w:r>
      <w:proofErr w:type="spellStart"/>
      <w:r w:rsidRPr="009B36DD">
        <w:rPr>
          <w:rFonts w:ascii="Calibri" w:hAnsi="Calibri" w:cs="Arial"/>
          <w:b w:val="0"/>
          <w:sz w:val="24"/>
          <w:szCs w:val="24"/>
        </w:rPr>
        <w:t>Kubikmeterpreises</w:t>
      </w:r>
      <w:proofErr w:type="spellEnd"/>
      <w:r w:rsidRPr="009B36DD">
        <w:rPr>
          <w:rFonts w:ascii="Calibri" w:hAnsi="Calibri" w:cs="Arial"/>
          <w:b w:val="0"/>
          <w:sz w:val="24"/>
          <w:szCs w:val="24"/>
        </w:rPr>
        <w:t xml:space="preserve"> je </w:t>
      </w:r>
      <w:r w:rsidR="000549C9">
        <w:rPr>
          <w:rFonts w:ascii="Calibri" w:hAnsi="Calibri" w:cs="Arial"/>
          <w:b w:val="0"/>
          <w:sz w:val="24"/>
          <w:szCs w:val="24"/>
        </w:rPr>
        <w:t>A</w:t>
      </w:r>
      <w:r w:rsidRPr="009B36DD">
        <w:rPr>
          <w:rFonts w:ascii="Calibri" w:hAnsi="Calibri" w:cs="Arial"/>
          <w:b w:val="0"/>
          <w:sz w:val="24"/>
          <w:szCs w:val="24"/>
        </w:rPr>
        <w:t>nschluss festgesetzt</w:t>
      </w:r>
      <w:r w:rsidRPr="009B36DD">
        <w:rPr>
          <w:rFonts w:ascii="Calibri" w:hAnsi="Calibri"/>
          <w:b w:val="0"/>
          <w:color w:val="000000"/>
          <w:spacing w:val="-1"/>
          <w:sz w:val="24"/>
          <w:szCs w:val="24"/>
        </w:rPr>
        <w:t>.</w:t>
      </w:r>
    </w:p>
    <w:p w:rsidR="00040BD7" w:rsidRPr="009B36DD" w:rsidRDefault="00040BD7" w:rsidP="009B36DD">
      <w:pPr>
        <w:pStyle w:val="Textkrper"/>
        <w:rPr>
          <w:rFonts w:ascii="Calibri" w:hAnsi="Calibri" w:cs="Arial"/>
          <w:b w:val="0"/>
          <w:sz w:val="24"/>
          <w:szCs w:val="24"/>
        </w:rPr>
      </w:pPr>
    </w:p>
    <w:p w:rsidR="00040BD7" w:rsidRPr="009B36DD" w:rsidRDefault="00040BD7" w:rsidP="009B36DD">
      <w:pPr>
        <w:pStyle w:val="Textkrper"/>
        <w:numPr>
          <w:ilvl w:val="0"/>
          <w:numId w:val="15"/>
        </w:numPr>
        <w:rPr>
          <w:rFonts w:ascii="Calibri" w:hAnsi="Calibri" w:cs="Arial"/>
          <w:b w:val="0"/>
          <w:sz w:val="24"/>
          <w:szCs w:val="24"/>
        </w:rPr>
      </w:pPr>
      <w:r w:rsidRPr="009B36DD">
        <w:rPr>
          <w:rFonts w:ascii="Calibri" w:hAnsi="Calibri" w:cs="Arial"/>
          <w:b w:val="0"/>
          <w:sz w:val="24"/>
          <w:szCs w:val="24"/>
        </w:rPr>
        <w:t>Zusätzlich wird eine verbrauchsabhängige Gebühr eingehoben. Diese beträgt 1,72 Euro pro Kubikmeter des aus der Wasserversorgungsanlage bezogenen Wassers, zu dessen Messung ein Wasserzähler einzubauen ist. Wenn dieser unrichtig anzeigt oder ausfällt, ist die verbrauchte Wassermenge zu schätzen. Bei der Schätzung ist insbesondere auf den Wasserverbrauch des vorangegangenen Kalenderjahres und auf etwa geänderte Verhältnisse im Wasserverbrauch Rücksicht zu nehmen.</w:t>
      </w:r>
    </w:p>
    <w:p w:rsidR="00040BD7" w:rsidRPr="009B36DD" w:rsidRDefault="00040BD7" w:rsidP="009B36DD">
      <w:pPr>
        <w:pStyle w:val="Listenabsatz"/>
        <w:spacing w:after="0" w:line="240" w:lineRule="auto"/>
        <w:rPr>
          <w:rFonts w:ascii="Calibri" w:hAnsi="Calibri" w:cs="Arial"/>
          <w:i/>
          <w:szCs w:val="24"/>
        </w:rPr>
      </w:pPr>
    </w:p>
    <w:p w:rsidR="00040BD7" w:rsidRPr="009B36DD" w:rsidRDefault="00040BD7" w:rsidP="009B36DD">
      <w:pPr>
        <w:pStyle w:val="Textkrper"/>
        <w:ind w:left="360"/>
        <w:rPr>
          <w:rFonts w:ascii="Calibri" w:hAnsi="Calibri" w:cs="Arial"/>
          <w:b w:val="0"/>
          <w:sz w:val="24"/>
          <w:szCs w:val="24"/>
        </w:rPr>
      </w:pPr>
      <w:r w:rsidRPr="009B36DD">
        <w:rPr>
          <w:rFonts w:ascii="Calibri" w:hAnsi="Calibri" w:cs="Arial"/>
          <w:b w:val="0"/>
          <w:sz w:val="24"/>
          <w:szCs w:val="24"/>
        </w:rPr>
        <w:t>Ist kein Wasserzähler eingebaut, ist eine Wassergebührenpauschale zu entrichten:</w:t>
      </w:r>
      <w:r w:rsidRPr="009B36DD">
        <w:rPr>
          <w:rFonts w:ascii="Calibri" w:hAnsi="Calibri" w:cs="Arial"/>
          <w:b w:val="0"/>
          <w:i/>
          <w:sz w:val="24"/>
          <w:szCs w:val="24"/>
        </w:rPr>
        <w:t xml:space="preserve"> Diese beträgt 50 m³ des aktuellen </w:t>
      </w:r>
      <w:proofErr w:type="spellStart"/>
      <w:r w:rsidRPr="009B36DD">
        <w:rPr>
          <w:rFonts w:ascii="Calibri" w:hAnsi="Calibri" w:cs="Arial"/>
          <w:b w:val="0"/>
          <w:i/>
          <w:sz w:val="24"/>
          <w:szCs w:val="24"/>
        </w:rPr>
        <w:t>Kubikmeterpreises</w:t>
      </w:r>
      <w:proofErr w:type="spellEnd"/>
      <w:r w:rsidRPr="009B36DD">
        <w:rPr>
          <w:rFonts w:ascii="Calibri" w:hAnsi="Calibri" w:cs="Arial"/>
          <w:b w:val="0"/>
          <w:i/>
          <w:sz w:val="24"/>
          <w:szCs w:val="24"/>
        </w:rPr>
        <w:t xml:space="preserve"> pro gemeldeter Person mit Haupt- oder Zweitwohnsitz (weiteren Wohnsitz). Der Stichtag der Ermittlung der gemeldeten Personen ist jeweils der 1.1. des Kalenderjahres.</w:t>
      </w:r>
    </w:p>
    <w:p w:rsidR="00040BD7" w:rsidRPr="009B36DD" w:rsidRDefault="00040BD7" w:rsidP="009B36DD">
      <w:pPr>
        <w:spacing w:after="0" w:line="240" w:lineRule="auto"/>
        <w:jc w:val="both"/>
        <w:rPr>
          <w:rFonts w:ascii="Calibri" w:hAnsi="Calibri" w:cs="Arial"/>
          <w:szCs w:val="24"/>
        </w:rPr>
      </w:pPr>
    </w:p>
    <w:p w:rsidR="00040BD7" w:rsidRDefault="00040BD7" w:rsidP="009B36DD">
      <w:pPr>
        <w:numPr>
          <w:ilvl w:val="0"/>
          <w:numId w:val="15"/>
        </w:numPr>
        <w:spacing w:after="0" w:line="240" w:lineRule="auto"/>
        <w:jc w:val="both"/>
        <w:rPr>
          <w:rFonts w:ascii="Calibri" w:hAnsi="Calibri" w:cs="Arial"/>
          <w:szCs w:val="24"/>
        </w:rPr>
      </w:pPr>
      <w:r w:rsidRPr="009B36DD">
        <w:rPr>
          <w:rFonts w:ascii="Calibri" w:hAnsi="Calibri" w:cs="Arial"/>
          <w:color w:val="000000"/>
          <w:spacing w:val="3"/>
          <w:szCs w:val="24"/>
        </w:rPr>
        <w:t>Der Gebührenpflichtige</w:t>
      </w:r>
      <w:r w:rsidRPr="009B36DD">
        <w:rPr>
          <w:rFonts w:ascii="Calibri" w:hAnsi="Calibri" w:cs="Arial"/>
          <w:color w:val="000000"/>
          <w:szCs w:val="24"/>
        </w:rPr>
        <w:t xml:space="preserve"> hat für die Beistellung des Wasserzählers eine jährliche Zählergebühr </w:t>
      </w:r>
      <w:r w:rsidRPr="009B36DD">
        <w:rPr>
          <w:rFonts w:ascii="Calibri" w:hAnsi="Calibri" w:cs="Arial"/>
          <w:color w:val="000000"/>
          <w:spacing w:val="-1"/>
          <w:szCs w:val="24"/>
        </w:rPr>
        <w:t>in Höhe von 7 Euro zu entrichten</w:t>
      </w:r>
      <w:r w:rsidRPr="009B36DD">
        <w:rPr>
          <w:rFonts w:ascii="Calibri" w:hAnsi="Calibri" w:cs="Arial"/>
          <w:szCs w:val="24"/>
        </w:rPr>
        <w:t xml:space="preserve">. </w:t>
      </w:r>
    </w:p>
    <w:p w:rsidR="000549C9" w:rsidRPr="009B36DD" w:rsidRDefault="000549C9" w:rsidP="000549C9">
      <w:pPr>
        <w:spacing w:after="0" w:line="240" w:lineRule="auto"/>
        <w:ind w:left="360"/>
        <w:jc w:val="both"/>
        <w:rPr>
          <w:rFonts w:ascii="Calibri" w:hAnsi="Calibri" w:cs="Arial"/>
          <w:szCs w:val="24"/>
        </w:rPr>
      </w:pPr>
    </w:p>
    <w:p w:rsidR="00040BD7" w:rsidRPr="009B36DD" w:rsidRDefault="000549C9" w:rsidP="009B36DD">
      <w:pPr>
        <w:spacing w:after="0" w:line="240" w:lineRule="auto"/>
        <w:jc w:val="center"/>
        <w:rPr>
          <w:rFonts w:ascii="Calibri" w:hAnsi="Calibri" w:cs="Arial"/>
          <w:b/>
          <w:szCs w:val="24"/>
        </w:rPr>
      </w:pPr>
      <w:r>
        <w:rPr>
          <w:rFonts w:ascii="Calibri" w:hAnsi="Calibri" w:cs="Arial"/>
          <w:b/>
          <w:szCs w:val="24"/>
        </w:rPr>
        <w:t>§ 4</w:t>
      </w:r>
    </w:p>
    <w:p w:rsidR="00040BD7" w:rsidRPr="009B36DD" w:rsidRDefault="00040BD7" w:rsidP="009B36DD">
      <w:pPr>
        <w:pStyle w:val="berschrift1"/>
        <w:spacing w:before="0" w:line="240" w:lineRule="auto"/>
        <w:jc w:val="center"/>
        <w:rPr>
          <w:rFonts w:ascii="Calibri" w:hAnsi="Calibri" w:cs="Arial"/>
          <w:sz w:val="24"/>
          <w:szCs w:val="24"/>
        </w:rPr>
      </w:pPr>
      <w:r w:rsidRPr="009B36DD">
        <w:rPr>
          <w:rFonts w:ascii="Calibri" w:hAnsi="Calibri" w:cs="Arial"/>
          <w:sz w:val="24"/>
          <w:szCs w:val="24"/>
        </w:rPr>
        <w:t>Bereitstellungsgebühr</w:t>
      </w:r>
    </w:p>
    <w:p w:rsidR="00040BD7" w:rsidRPr="009B36DD" w:rsidRDefault="00040BD7" w:rsidP="009B36DD">
      <w:pPr>
        <w:pStyle w:val="Textkrper"/>
        <w:jc w:val="center"/>
        <w:rPr>
          <w:rFonts w:ascii="Calibri" w:hAnsi="Calibri" w:cs="Arial"/>
          <w:b w:val="0"/>
          <w:sz w:val="24"/>
          <w:szCs w:val="24"/>
        </w:rPr>
      </w:pPr>
    </w:p>
    <w:p w:rsidR="00040BD7" w:rsidRPr="009B36DD" w:rsidRDefault="00040BD7" w:rsidP="009B36DD">
      <w:pPr>
        <w:pStyle w:val="Textkrper"/>
        <w:rPr>
          <w:rFonts w:ascii="Calibri" w:hAnsi="Calibri" w:cs="Arial"/>
          <w:b w:val="0"/>
          <w:sz w:val="24"/>
          <w:szCs w:val="24"/>
        </w:rPr>
      </w:pPr>
      <w:r w:rsidRPr="009B36DD">
        <w:rPr>
          <w:rFonts w:ascii="Calibri" w:hAnsi="Calibri" w:cs="Arial"/>
          <w:b w:val="0"/>
          <w:sz w:val="24"/>
          <w:szCs w:val="24"/>
        </w:rPr>
        <w:t>(1) Für die Bereitstellung der Wasserversorgungsanlage wird für ange</w:t>
      </w:r>
      <w:r w:rsidR="004E1A73">
        <w:rPr>
          <w:rFonts w:ascii="Calibri" w:hAnsi="Calibri" w:cs="Arial"/>
          <w:b w:val="0"/>
          <w:sz w:val="24"/>
          <w:szCs w:val="24"/>
        </w:rPr>
        <w:t>schlossene aber unbebaute Grund</w:t>
      </w:r>
      <w:r w:rsidRPr="009B36DD">
        <w:rPr>
          <w:rFonts w:ascii="Calibri" w:hAnsi="Calibri" w:cs="Arial"/>
          <w:b w:val="0"/>
          <w:sz w:val="24"/>
          <w:szCs w:val="24"/>
        </w:rPr>
        <w:t xml:space="preserve">stücke eine jährliche Wasserbereitstellungsgebühr erhoben. Gebührenpflichtig ist der Eigentümer des an die Wasserversorgungsanlage angeschlossenen, jedoch unbebauten Grundstücks. </w:t>
      </w:r>
    </w:p>
    <w:p w:rsidR="00040BD7" w:rsidRPr="009B36DD" w:rsidRDefault="00040BD7" w:rsidP="009B36DD">
      <w:pPr>
        <w:pStyle w:val="Textkrper"/>
        <w:jc w:val="left"/>
        <w:rPr>
          <w:rFonts w:ascii="Calibri" w:hAnsi="Calibri" w:cs="Arial"/>
          <w:b w:val="0"/>
          <w:sz w:val="24"/>
          <w:szCs w:val="24"/>
        </w:rPr>
      </w:pPr>
    </w:p>
    <w:p w:rsidR="00040BD7" w:rsidRPr="009B36DD" w:rsidRDefault="00040BD7" w:rsidP="009B36DD">
      <w:pPr>
        <w:pStyle w:val="Textkrper"/>
        <w:jc w:val="left"/>
        <w:rPr>
          <w:rFonts w:ascii="Calibri" w:hAnsi="Calibri" w:cs="Arial"/>
          <w:b w:val="0"/>
          <w:sz w:val="24"/>
          <w:szCs w:val="24"/>
        </w:rPr>
      </w:pPr>
      <w:r w:rsidRPr="009B36DD">
        <w:rPr>
          <w:rFonts w:ascii="Calibri" w:hAnsi="Calibri" w:cs="Arial"/>
          <w:b w:val="0"/>
          <w:sz w:val="24"/>
          <w:szCs w:val="24"/>
        </w:rPr>
        <w:t xml:space="preserve">(2) Die Bereitstellungsgebühr beträgt einheitlich für alle Grundstücke 35 m³ des aktuellen </w:t>
      </w:r>
      <w:proofErr w:type="spellStart"/>
      <w:r w:rsidRPr="009B36DD">
        <w:rPr>
          <w:rFonts w:ascii="Calibri" w:hAnsi="Calibri" w:cs="Arial"/>
          <w:b w:val="0"/>
          <w:sz w:val="24"/>
          <w:szCs w:val="24"/>
        </w:rPr>
        <w:t>Kubikmeterpreises</w:t>
      </w:r>
      <w:proofErr w:type="spellEnd"/>
      <w:r w:rsidRPr="009B36DD">
        <w:rPr>
          <w:rFonts w:ascii="Calibri" w:hAnsi="Calibri" w:cs="Arial"/>
          <w:b w:val="0"/>
          <w:sz w:val="24"/>
          <w:szCs w:val="24"/>
        </w:rPr>
        <w:t xml:space="preserve">. </w:t>
      </w:r>
    </w:p>
    <w:p w:rsidR="00040BD7" w:rsidRPr="009B36DD" w:rsidRDefault="00040BD7" w:rsidP="009B36DD">
      <w:pPr>
        <w:spacing w:after="0" w:line="240" w:lineRule="auto"/>
        <w:jc w:val="both"/>
        <w:rPr>
          <w:rFonts w:ascii="Calibri" w:hAnsi="Calibri" w:cs="Arial"/>
          <w:i/>
          <w:szCs w:val="24"/>
        </w:rPr>
      </w:pPr>
    </w:p>
    <w:p w:rsidR="00040BD7" w:rsidRPr="009B36DD" w:rsidRDefault="000549C9" w:rsidP="009B36DD">
      <w:pPr>
        <w:spacing w:after="0" w:line="240" w:lineRule="auto"/>
        <w:jc w:val="center"/>
        <w:rPr>
          <w:rFonts w:ascii="Calibri" w:hAnsi="Calibri" w:cs="Arial"/>
          <w:b/>
          <w:szCs w:val="24"/>
        </w:rPr>
      </w:pPr>
      <w:r>
        <w:rPr>
          <w:rFonts w:ascii="Calibri" w:hAnsi="Calibri" w:cs="Arial"/>
          <w:b/>
          <w:szCs w:val="24"/>
        </w:rPr>
        <w:t>§ 5</w:t>
      </w:r>
    </w:p>
    <w:p w:rsidR="00040BD7" w:rsidRPr="009B36DD" w:rsidRDefault="00040BD7" w:rsidP="009B36DD">
      <w:pPr>
        <w:pStyle w:val="berschrift1"/>
        <w:spacing w:before="0" w:line="240" w:lineRule="auto"/>
        <w:jc w:val="center"/>
        <w:rPr>
          <w:rFonts w:ascii="Calibri" w:hAnsi="Calibri" w:cs="Arial"/>
          <w:sz w:val="24"/>
          <w:szCs w:val="24"/>
        </w:rPr>
      </w:pPr>
      <w:r w:rsidRPr="009B36DD">
        <w:rPr>
          <w:rFonts w:ascii="Calibri" w:hAnsi="Calibri" w:cs="Arial"/>
          <w:sz w:val="24"/>
          <w:szCs w:val="24"/>
        </w:rPr>
        <w:t>Entstehen des Abgabenanspruchs und Fälligkeit</w:t>
      </w:r>
    </w:p>
    <w:p w:rsidR="00040BD7" w:rsidRPr="009B36DD" w:rsidRDefault="00040BD7" w:rsidP="009B36DD">
      <w:pPr>
        <w:spacing w:after="0" w:line="240" w:lineRule="auto"/>
        <w:jc w:val="both"/>
        <w:rPr>
          <w:rFonts w:ascii="Calibri" w:hAnsi="Calibri" w:cs="Arial"/>
          <w:szCs w:val="24"/>
        </w:rPr>
      </w:pPr>
    </w:p>
    <w:p w:rsidR="00040BD7" w:rsidRPr="009B36DD" w:rsidRDefault="00040BD7" w:rsidP="009B36DD">
      <w:pPr>
        <w:pStyle w:val="Textkrper"/>
        <w:numPr>
          <w:ilvl w:val="0"/>
          <w:numId w:val="13"/>
        </w:numPr>
        <w:rPr>
          <w:rFonts w:ascii="Calibri" w:hAnsi="Calibri" w:cs="Arial"/>
          <w:b w:val="0"/>
          <w:sz w:val="24"/>
          <w:szCs w:val="24"/>
        </w:rPr>
      </w:pPr>
      <w:r w:rsidRPr="009B36DD">
        <w:rPr>
          <w:rFonts w:ascii="Calibri" w:hAnsi="Calibri" w:cs="Arial"/>
          <w:b w:val="0"/>
          <w:sz w:val="24"/>
          <w:szCs w:val="24"/>
        </w:rPr>
        <w:t xml:space="preserve">Die Wasser-Anschlussgebührenpflicht entsteht mit dem Anschluss eines Grundstückes an die Wasserversorgungsanlage. </w:t>
      </w:r>
    </w:p>
    <w:p w:rsidR="00040BD7" w:rsidRPr="009B36DD" w:rsidRDefault="00040BD7" w:rsidP="009B36DD">
      <w:pPr>
        <w:pStyle w:val="Textkrper"/>
        <w:rPr>
          <w:rFonts w:ascii="Calibri" w:hAnsi="Calibri" w:cs="Arial"/>
          <w:b w:val="0"/>
          <w:sz w:val="24"/>
          <w:szCs w:val="24"/>
        </w:rPr>
      </w:pPr>
    </w:p>
    <w:p w:rsidR="00040BD7" w:rsidRPr="009B36DD" w:rsidRDefault="00040BD7" w:rsidP="009B36DD">
      <w:pPr>
        <w:numPr>
          <w:ilvl w:val="0"/>
          <w:numId w:val="13"/>
        </w:numPr>
        <w:spacing w:after="0" w:line="240" w:lineRule="auto"/>
        <w:jc w:val="both"/>
        <w:rPr>
          <w:rFonts w:ascii="Calibri" w:hAnsi="Calibri" w:cs="Arial"/>
          <w:szCs w:val="24"/>
        </w:rPr>
      </w:pPr>
      <w:r w:rsidRPr="009B36DD">
        <w:rPr>
          <w:rFonts w:ascii="Calibri" w:hAnsi="Calibri" w:cs="Arial"/>
          <w:szCs w:val="24"/>
        </w:rPr>
        <w:lastRenderedPageBreak/>
        <w:t xml:space="preserve">Die Verpflichtung zur Entrichtung der ergänzenden Wasseranschlussgebühr nach § 2 Abs. 5 entsteht mit der Vollendung der Rohbauarbeiten bzw. der vollendeten Änderung des Verwendungszwecks. </w:t>
      </w:r>
    </w:p>
    <w:p w:rsidR="00040BD7" w:rsidRPr="009B36DD" w:rsidRDefault="00040BD7" w:rsidP="009B36DD">
      <w:pPr>
        <w:spacing w:after="0" w:line="240" w:lineRule="auto"/>
        <w:jc w:val="both"/>
        <w:rPr>
          <w:rFonts w:ascii="Calibri" w:hAnsi="Calibri" w:cs="Arial"/>
          <w:szCs w:val="24"/>
        </w:rPr>
      </w:pPr>
    </w:p>
    <w:p w:rsidR="00040BD7" w:rsidRPr="009B36DD" w:rsidRDefault="00040BD7" w:rsidP="009B36DD">
      <w:pPr>
        <w:numPr>
          <w:ilvl w:val="0"/>
          <w:numId w:val="13"/>
        </w:numPr>
        <w:spacing w:after="0" w:line="240" w:lineRule="auto"/>
        <w:jc w:val="both"/>
        <w:rPr>
          <w:rFonts w:ascii="Calibri" w:hAnsi="Calibri" w:cs="Arial"/>
          <w:szCs w:val="24"/>
        </w:rPr>
      </w:pPr>
      <w:r w:rsidRPr="009B36DD">
        <w:rPr>
          <w:rFonts w:ascii="Calibri" w:hAnsi="Calibri" w:cs="Arial"/>
          <w:szCs w:val="24"/>
        </w:rPr>
        <w:t xml:space="preserve">Die Verpflichtung zur Entrichtung der Bereitstellungsgebühr gemäß § 5 entsteht mit Ablauf des Monats, in dem die Herstellung des Anschlusses des Grundstücks an die Wasserversorgungsanlage erfolgt. </w:t>
      </w:r>
    </w:p>
    <w:p w:rsidR="00040BD7" w:rsidRPr="009B36DD" w:rsidRDefault="00040BD7" w:rsidP="009B36DD">
      <w:pPr>
        <w:spacing w:after="0" w:line="240" w:lineRule="auto"/>
        <w:jc w:val="both"/>
        <w:rPr>
          <w:rFonts w:ascii="Calibri" w:hAnsi="Calibri" w:cs="Arial"/>
          <w:szCs w:val="24"/>
        </w:rPr>
      </w:pPr>
    </w:p>
    <w:p w:rsidR="00040BD7" w:rsidRPr="009B36DD" w:rsidRDefault="00040BD7" w:rsidP="009B36DD">
      <w:pPr>
        <w:pStyle w:val="Textkrper"/>
        <w:numPr>
          <w:ilvl w:val="0"/>
          <w:numId w:val="13"/>
        </w:numPr>
        <w:rPr>
          <w:rFonts w:ascii="Calibri" w:hAnsi="Calibri" w:cs="Arial"/>
          <w:b w:val="0"/>
          <w:sz w:val="24"/>
          <w:szCs w:val="24"/>
        </w:rPr>
      </w:pPr>
      <w:r w:rsidRPr="009B36DD">
        <w:rPr>
          <w:rFonts w:ascii="Calibri" w:hAnsi="Calibri" w:cs="Arial"/>
          <w:b w:val="0"/>
          <w:sz w:val="24"/>
          <w:szCs w:val="24"/>
        </w:rPr>
        <w:t xml:space="preserve">Die Wasserbenützungsgebühr und die Bereitstellungsgebühr sind vierteljährlich eines jeden Jahres </w:t>
      </w:r>
      <w:proofErr w:type="spellStart"/>
      <w:r w:rsidRPr="009B36DD">
        <w:rPr>
          <w:rFonts w:ascii="Calibri" w:hAnsi="Calibri" w:cs="Arial"/>
          <w:b w:val="0"/>
          <w:sz w:val="24"/>
          <w:szCs w:val="24"/>
        </w:rPr>
        <w:t>im nachhinein</w:t>
      </w:r>
      <w:proofErr w:type="spellEnd"/>
      <w:r w:rsidRPr="009B36DD">
        <w:rPr>
          <w:rFonts w:ascii="Calibri" w:hAnsi="Calibri" w:cs="Arial"/>
          <w:b w:val="0"/>
          <w:sz w:val="24"/>
          <w:szCs w:val="24"/>
        </w:rPr>
        <w:t xml:space="preserve"> zu entrichten. </w:t>
      </w:r>
    </w:p>
    <w:p w:rsidR="00040BD7" w:rsidRPr="009B36DD" w:rsidRDefault="00040BD7" w:rsidP="009B36DD">
      <w:pPr>
        <w:spacing w:after="0" w:line="240" w:lineRule="auto"/>
        <w:jc w:val="both"/>
        <w:rPr>
          <w:rFonts w:ascii="Calibri" w:hAnsi="Calibri" w:cs="Arial"/>
          <w:szCs w:val="24"/>
        </w:rPr>
      </w:pPr>
    </w:p>
    <w:p w:rsidR="00040BD7" w:rsidRPr="009B36DD" w:rsidRDefault="000549C9" w:rsidP="009B36DD">
      <w:pPr>
        <w:spacing w:after="0" w:line="240" w:lineRule="auto"/>
        <w:jc w:val="center"/>
        <w:rPr>
          <w:rFonts w:ascii="Calibri" w:hAnsi="Calibri" w:cs="Arial"/>
          <w:b/>
          <w:szCs w:val="24"/>
        </w:rPr>
      </w:pPr>
      <w:r>
        <w:rPr>
          <w:rFonts w:ascii="Calibri" w:hAnsi="Calibri" w:cs="Arial"/>
          <w:b/>
          <w:szCs w:val="24"/>
        </w:rPr>
        <w:t>§ 6</w:t>
      </w:r>
    </w:p>
    <w:p w:rsidR="00040BD7" w:rsidRPr="009B36DD" w:rsidRDefault="00040BD7" w:rsidP="009B36DD">
      <w:pPr>
        <w:pStyle w:val="berschrift1"/>
        <w:spacing w:before="0" w:line="240" w:lineRule="auto"/>
        <w:jc w:val="center"/>
        <w:rPr>
          <w:rFonts w:ascii="Calibri" w:hAnsi="Calibri" w:cs="Arial"/>
          <w:sz w:val="24"/>
          <w:szCs w:val="24"/>
        </w:rPr>
      </w:pPr>
      <w:r w:rsidRPr="009B36DD">
        <w:rPr>
          <w:rFonts w:ascii="Calibri" w:hAnsi="Calibri" w:cs="Arial"/>
          <w:sz w:val="24"/>
          <w:szCs w:val="24"/>
        </w:rPr>
        <w:t>Umsatzsteuer</w:t>
      </w:r>
    </w:p>
    <w:p w:rsidR="00040BD7" w:rsidRPr="009B36DD" w:rsidRDefault="00040BD7" w:rsidP="009B36DD">
      <w:pPr>
        <w:spacing w:after="0" w:line="240" w:lineRule="auto"/>
        <w:jc w:val="both"/>
        <w:rPr>
          <w:rFonts w:ascii="Calibri" w:hAnsi="Calibri" w:cs="Arial"/>
          <w:szCs w:val="24"/>
        </w:rPr>
      </w:pPr>
    </w:p>
    <w:p w:rsidR="00040BD7" w:rsidRPr="009B36DD" w:rsidRDefault="004E1A73" w:rsidP="009B36DD">
      <w:pPr>
        <w:pStyle w:val="Textkrper"/>
        <w:rPr>
          <w:rFonts w:ascii="Calibri" w:hAnsi="Calibri" w:cs="Arial"/>
          <w:b w:val="0"/>
          <w:sz w:val="24"/>
          <w:szCs w:val="24"/>
        </w:rPr>
      </w:pPr>
      <w:r>
        <w:rPr>
          <w:rFonts w:ascii="Calibri" w:hAnsi="Calibri" w:cs="Arial"/>
          <w:b w:val="0"/>
          <w:sz w:val="24"/>
          <w:szCs w:val="24"/>
        </w:rPr>
        <w:t>In</w:t>
      </w:r>
      <w:r w:rsidR="00040BD7" w:rsidRPr="009B36DD">
        <w:rPr>
          <w:rFonts w:ascii="Calibri" w:hAnsi="Calibri" w:cs="Arial"/>
          <w:b w:val="0"/>
          <w:sz w:val="24"/>
          <w:szCs w:val="24"/>
        </w:rPr>
        <w:t xml:space="preserve"> den Gebühren ist die gesetzliche Umsatzsteuer bereits enthalten. </w:t>
      </w:r>
    </w:p>
    <w:p w:rsidR="00040BD7" w:rsidRPr="009B36DD" w:rsidRDefault="00040BD7" w:rsidP="009B36DD">
      <w:pPr>
        <w:pStyle w:val="Textkrper"/>
        <w:rPr>
          <w:rFonts w:ascii="Calibri" w:hAnsi="Calibri" w:cs="Arial"/>
          <w:b w:val="0"/>
          <w:i/>
          <w:sz w:val="24"/>
          <w:szCs w:val="24"/>
        </w:rPr>
      </w:pPr>
    </w:p>
    <w:p w:rsidR="00040BD7" w:rsidRPr="009B36DD" w:rsidRDefault="000549C9" w:rsidP="009B36DD">
      <w:pPr>
        <w:pStyle w:val="Textkrper"/>
        <w:jc w:val="center"/>
        <w:rPr>
          <w:rFonts w:ascii="Calibri" w:hAnsi="Calibri" w:cs="Arial"/>
          <w:sz w:val="24"/>
          <w:szCs w:val="24"/>
        </w:rPr>
      </w:pPr>
      <w:r>
        <w:rPr>
          <w:rFonts w:ascii="Calibri" w:hAnsi="Calibri" w:cs="Arial"/>
          <w:sz w:val="24"/>
          <w:szCs w:val="24"/>
        </w:rPr>
        <w:t>§ 7</w:t>
      </w:r>
      <w:r w:rsidR="00040BD7" w:rsidRPr="009B36DD">
        <w:rPr>
          <w:rFonts w:ascii="Calibri" w:hAnsi="Calibri" w:cs="Arial"/>
          <w:sz w:val="24"/>
          <w:szCs w:val="24"/>
        </w:rPr>
        <w:t xml:space="preserve"> </w:t>
      </w:r>
    </w:p>
    <w:p w:rsidR="00040BD7" w:rsidRPr="009B36DD" w:rsidRDefault="00040BD7" w:rsidP="009B36DD">
      <w:pPr>
        <w:pStyle w:val="berschrift1"/>
        <w:spacing w:before="0" w:line="240" w:lineRule="auto"/>
        <w:jc w:val="center"/>
        <w:rPr>
          <w:rFonts w:ascii="Calibri" w:hAnsi="Calibri" w:cs="Arial"/>
          <w:sz w:val="24"/>
          <w:szCs w:val="24"/>
        </w:rPr>
      </w:pPr>
      <w:r w:rsidRPr="009B36DD">
        <w:rPr>
          <w:rFonts w:ascii="Calibri" w:hAnsi="Calibri" w:cs="Arial"/>
          <w:sz w:val="24"/>
          <w:szCs w:val="24"/>
        </w:rPr>
        <w:t>Jährliche Anpassung</w:t>
      </w:r>
    </w:p>
    <w:p w:rsidR="00040BD7" w:rsidRPr="009B36DD" w:rsidRDefault="00040BD7" w:rsidP="009B36DD">
      <w:pPr>
        <w:pStyle w:val="Textkrper"/>
        <w:rPr>
          <w:rFonts w:ascii="Calibri" w:hAnsi="Calibri" w:cs="Arial"/>
          <w:b w:val="0"/>
          <w:sz w:val="24"/>
          <w:szCs w:val="24"/>
        </w:rPr>
      </w:pPr>
    </w:p>
    <w:p w:rsidR="00040BD7" w:rsidRPr="009B36DD" w:rsidRDefault="00040BD7" w:rsidP="009B36DD">
      <w:pPr>
        <w:pStyle w:val="Textkrper"/>
        <w:rPr>
          <w:rFonts w:ascii="Calibri" w:hAnsi="Calibri" w:cs="Arial"/>
          <w:b w:val="0"/>
          <w:sz w:val="24"/>
          <w:szCs w:val="24"/>
        </w:rPr>
      </w:pPr>
      <w:r w:rsidRPr="009B36DD">
        <w:rPr>
          <w:rFonts w:ascii="Calibri" w:hAnsi="Calibri" w:cs="Arial"/>
          <w:b w:val="0"/>
          <w:sz w:val="24"/>
          <w:szCs w:val="24"/>
        </w:rPr>
        <w:t>Die Gebühren können vom Gemeinderat jährlich im Rahmen des Gemeindevoranschlages angepasst werden.</w:t>
      </w:r>
    </w:p>
    <w:p w:rsidR="00040BD7" w:rsidRPr="009B36DD" w:rsidRDefault="00040BD7" w:rsidP="009B36DD">
      <w:pPr>
        <w:pStyle w:val="Textkrper"/>
        <w:rPr>
          <w:rFonts w:ascii="Calibri" w:hAnsi="Calibri" w:cs="Arial"/>
          <w:b w:val="0"/>
          <w:i/>
          <w:sz w:val="24"/>
          <w:szCs w:val="24"/>
        </w:rPr>
      </w:pPr>
    </w:p>
    <w:p w:rsidR="00040BD7" w:rsidRPr="009B36DD" w:rsidRDefault="000549C9" w:rsidP="009B36DD">
      <w:pPr>
        <w:spacing w:after="0" w:line="240" w:lineRule="auto"/>
        <w:jc w:val="center"/>
        <w:rPr>
          <w:rFonts w:ascii="Calibri" w:hAnsi="Calibri" w:cs="Arial"/>
          <w:b/>
          <w:szCs w:val="24"/>
        </w:rPr>
      </w:pPr>
      <w:r>
        <w:rPr>
          <w:rFonts w:ascii="Calibri" w:hAnsi="Calibri" w:cs="Arial"/>
          <w:b/>
          <w:szCs w:val="24"/>
        </w:rPr>
        <w:t>§ 8</w:t>
      </w:r>
    </w:p>
    <w:p w:rsidR="00040BD7" w:rsidRPr="009B36DD" w:rsidRDefault="00040BD7" w:rsidP="009B36DD">
      <w:pPr>
        <w:pStyle w:val="berschrift1"/>
        <w:spacing w:before="0" w:line="240" w:lineRule="auto"/>
        <w:jc w:val="center"/>
        <w:rPr>
          <w:rFonts w:ascii="Calibri" w:hAnsi="Calibri" w:cs="Arial"/>
          <w:sz w:val="24"/>
          <w:szCs w:val="24"/>
        </w:rPr>
      </w:pPr>
      <w:r w:rsidRPr="009B36DD">
        <w:rPr>
          <w:rFonts w:ascii="Calibri" w:hAnsi="Calibri" w:cs="Arial"/>
          <w:sz w:val="24"/>
          <w:szCs w:val="24"/>
        </w:rPr>
        <w:t>Inkrafttreten</w:t>
      </w:r>
    </w:p>
    <w:p w:rsidR="00040BD7" w:rsidRPr="009B36DD" w:rsidRDefault="00040BD7" w:rsidP="009B36DD">
      <w:pPr>
        <w:spacing w:after="0" w:line="240" w:lineRule="auto"/>
        <w:jc w:val="both"/>
        <w:rPr>
          <w:rFonts w:ascii="Calibri" w:hAnsi="Calibri" w:cs="Arial"/>
          <w:szCs w:val="24"/>
        </w:rPr>
      </w:pPr>
    </w:p>
    <w:p w:rsidR="00040BD7" w:rsidRPr="009B36DD" w:rsidRDefault="00040BD7" w:rsidP="009B36DD">
      <w:pPr>
        <w:spacing w:after="0" w:line="240" w:lineRule="auto"/>
        <w:jc w:val="both"/>
        <w:rPr>
          <w:rFonts w:ascii="Calibri" w:hAnsi="Calibri" w:cs="Arial"/>
          <w:szCs w:val="24"/>
        </w:rPr>
      </w:pPr>
      <w:r w:rsidRPr="009B36DD">
        <w:rPr>
          <w:rFonts w:ascii="Calibri" w:hAnsi="Calibri" w:cs="Arial"/>
          <w:szCs w:val="24"/>
        </w:rPr>
        <w:t>Die Rechtswirksamkeit dieser Wassergebührenordnung beginnt mit dem auf den Ablauf der Kundmachungs</w:t>
      </w:r>
      <w:r w:rsidRPr="009B36DD">
        <w:rPr>
          <w:rFonts w:ascii="Calibri" w:hAnsi="Calibri" w:cs="Arial"/>
          <w:szCs w:val="24"/>
        </w:rPr>
        <w:softHyphen/>
        <w:t xml:space="preserve">frist folgenden Tag; gleichzeitig tritt die Wassergebührenordnung vom </w:t>
      </w:r>
      <w:r w:rsidR="00102E0E">
        <w:rPr>
          <w:rFonts w:ascii="Calibri" w:hAnsi="Calibri" w:cs="Arial"/>
          <w:szCs w:val="24"/>
        </w:rPr>
        <w:t>19. März 2007</w:t>
      </w:r>
      <w:r w:rsidRPr="009B36DD">
        <w:rPr>
          <w:rFonts w:ascii="Calibri" w:hAnsi="Calibri" w:cs="Arial"/>
          <w:szCs w:val="24"/>
        </w:rPr>
        <w:t xml:space="preserve"> außer Kraft. </w:t>
      </w:r>
    </w:p>
    <w:p w:rsidR="00040BD7" w:rsidRPr="009B36DD" w:rsidRDefault="00040BD7" w:rsidP="009B36DD">
      <w:pPr>
        <w:spacing w:after="0" w:line="240" w:lineRule="auto"/>
        <w:jc w:val="both"/>
        <w:rPr>
          <w:rFonts w:ascii="Calibri" w:hAnsi="Calibri" w:cs="Arial"/>
          <w:szCs w:val="24"/>
        </w:rPr>
      </w:pPr>
    </w:p>
    <w:p w:rsidR="00040BD7" w:rsidRPr="009B36DD" w:rsidRDefault="00040BD7" w:rsidP="009B36DD">
      <w:pPr>
        <w:spacing w:after="0" w:line="240" w:lineRule="auto"/>
        <w:jc w:val="both"/>
        <w:rPr>
          <w:rFonts w:ascii="Calibri" w:hAnsi="Calibri" w:cs="Arial"/>
          <w:szCs w:val="24"/>
        </w:rPr>
      </w:pPr>
    </w:p>
    <w:p w:rsidR="00040BD7" w:rsidRPr="009B36DD" w:rsidRDefault="00040BD7" w:rsidP="009B36DD">
      <w:pPr>
        <w:spacing w:after="0" w:line="240" w:lineRule="auto"/>
        <w:jc w:val="both"/>
        <w:rPr>
          <w:rFonts w:ascii="Calibri" w:hAnsi="Calibri" w:cs="Arial"/>
          <w:szCs w:val="24"/>
        </w:rPr>
      </w:pPr>
    </w:p>
    <w:p w:rsidR="00040BD7" w:rsidRPr="009B36DD" w:rsidRDefault="00040BD7" w:rsidP="009B36DD">
      <w:pPr>
        <w:spacing w:after="0" w:line="240" w:lineRule="auto"/>
        <w:jc w:val="both"/>
        <w:rPr>
          <w:rFonts w:ascii="Calibri" w:hAnsi="Calibri" w:cs="Arial"/>
          <w:szCs w:val="24"/>
        </w:rPr>
      </w:pPr>
    </w:p>
    <w:p w:rsidR="00040BD7" w:rsidRPr="009B36DD" w:rsidRDefault="00040BD7" w:rsidP="009B36DD">
      <w:pPr>
        <w:spacing w:after="0" w:line="240" w:lineRule="auto"/>
        <w:jc w:val="center"/>
        <w:rPr>
          <w:rFonts w:ascii="Calibri" w:hAnsi="Calibri" w:cs="Arial"/>
          <w:szCs w:val="24"/>
        </w:rPr>
      </w:pPr>
      <w:r w:rsidRPr="009B36DD">
        <w:rPr>
          <w:rFonts w:ascii="Calibri" w:hAnsi="Calibri" w:cs="Arial"/>
          <w:szCs w:val="24"/>
        </w:rPr>
        <w:t>Martin Voggenberger</w:t>
      </w:r>
    </w:p>
    <w:p w:rsidR="00040BD7" w:rsidRDefault="00040BD7" w:rsidP="009B36DD">
      <w:pPr>
        <w:spacing w:after="0" w:line="240" w:lineRule="auto"/>
        <w:jc w:val="center"/>
        <w:rPr>
          <w:rFonts w:ascii="Calibri" w:hAnsi="Calibri" w:cs="Arial"/>
          <w:szCs w:val="24"/>
        </w:rPr>
      </w:pPr>
      <w:r w:rsidRPr="009B36DD">
        <w:rPr>
          <w:rFonts w:ascii="Calibri" w:hAnsi="Calibri" w:cs="Arial"/>
          <w:szCs w:val="24"/>
        </w:rPr>
        <w:t>Bürgermeister</w:t>
      </w:r>
    </w:p>
    <w:p w:rsidR="0064310A" w:rsidRDefault="0064310A" w:rsidP="009B36DD">
      <w:pPr>
        <w:spacing w:after="0" w:line="240" w:lineRule="auto"/>
        <w:jc w:val="center"/>
        <w:rPr>
          <w:rFonts w:ascii="Calibri" w:hAnsi="Calibri" w:cs="Arial"/>
          <w:szCs w:val="24"/>
        </w:rPr>
      </w:pPr>
    </w:p>
    <w:p w:rsidR="0064310A" w:rsidRDefault="0064310A" w:rsidP="009B36DD">
      <w:pPr>
        <w:spacing w:after="0" w:line="240" w:lineRule="auto"/>
        <w:jc w:val="center"/>
        <w:rPr>
          <w:rFonts w:ascii="Calibri" w:hAnsi="Calibri" w:cs="Arial"/>
          <w:szCs w:val="24"/>
        </w:rPr>
      </w:pPr>
    </w:p>
    <w:p w:rsidR="0064310A" w:rsidRDefault="0064310A" w:rsidP="009B36DD">
      <w:pPr>
        <w:spacing w:after="0" w:line="240" w:lineRule="auto"/>
        <w:jc w:val="center"/>
        <w:rPr>
          <w:rFonts w:ascii="Calibri" w:hAnsi="Calibri" w:cs="Arial"/>
          <w:szCs w:val="24"/>
        </w:rPr>
      </w:pPr>
    </w:p>
    <w:p w:rsidR="0064310A" w:rsidRDefault="0064310A" w:rsidP="009B36DD">
      <w:pPr>
        <w:spacing w:after="0" w:line="240" w:lineRule="auto"/>
        <w:jc w:val="center"/>
        <w:rPr>
          <w:rFonts w:ascii="Calibri" w:hAnsi="Calibri" w:cs="Arial"/>
          <w:szCs w:val="24"/>
        </w:rPr>
      </w:pPr>
    </w:p>
    <w:p w:rsidR="0064310A" w:rsidRDefault="0064310A" w:rsidP="0064310A">
      <w:pPr>
        <w:tabs>
          <w:tab w:val="left" w:pos="284"/>
        </w:tabs>
        <w:spacing w:after="0" w:line="240" w:lineRule="auto"/>
        <w:rPr>
          <w:rFonts w:ascii="Calibri" w:hAnsi="Calibri" w:cs="Arial"/>
        </w:rPr>
      </w:pPr>
      <w:r>
        <w:rPr>
          <w:rFonts w:ascii="Calibri" w:hAnsi="Calibri" w:cs="Arial"/>
        </w:rPr>
        <w:t>Angeschlagen am:  18.04.2019</w:t>
      </w:r>
    </w:p>
    <w:p w:rsidR="0064310A" w:rsidRPr="00086D62" w:rsidRDefault="0064310A" w:rsidP="0064310A">
      <w:pPr>
        <w:tabs>
          <w:tab w:val="left" w:pos="284"/>
        </w:tabs>
        <w:spacing w:after="0" w:line="240" w:lineRule="auto"/>
        <w:rPr>
          <w:rFonts w:ascii="Calibri" w:hAnsi="Calibri" w:cs="Arial"/>
        </w:rPr>
      </w:pPr>
      <w:r>
        <w:rPr>
          <w:rFonts w:ascii="Calibri" w:hAnsi="Calibri" w:cs="Arial"/>
        </w:rPr>
        <w:t>Abgenommen am: 03.05.2019</w:t>
      </w:r>
    </w:p>
    <w:p w:rsidR="0064310A" w:rsidRPr="009B36DD" w:rsidRDefault="0064310A" w:rsidP="009B36DD">
      <w:pPr>
        <w:spacing w:after="0" w:line="240" w:lineRule="auto"/>
        <w:jc w:val="center"/>
        <w:rPr>
          <w:rFonts w:ascii="Calibri" w:hAnsi="Calibri" w:cs="Arial"/>
          <w:szCs w:val="24"/>
        </w:rPr>
      </w:pPr>
      <w:bookmarkStart w:id="0" w:name="_GoBack"/>
      <w:bookmarkEnd w:id="0"/>
    </w:p>
    <w:sectPr w:rsidR="0064310A" w:rsidRPr="009B36DD" w:rsidSect="003B3C96">
      <w:headerReference w:type="default" r:id="rId8"/>
      <w:pgSz w:w="11906" w:h="16838"/>
      <w:pgMar w:top="1702" w:right="113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C85" w:rsidRDefault="00B71C85" w:rsidP="00D00F89">
      <w:pPr>
        <w:spacing w:after="0" w:line="240" w:lineRule="auto"/>
      </w:pPr>
      <w:r>
        <w:separator/>
      </w:r>
    </w:p>
  </w:endnote>
  <w:endnote w:type="continuationSeparator" w:id="0">
    <w:p w:rsidR="00B71C85" w:rsidRDefault="00B71C85" w:rsidP="00D0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C85" w:rsidRDefault="00B71C85" w:rsidP="00D00F89">
      <w:pPr>
        <w:spacing w:after="0" w:line="240" w:lineRule="auto"/>
      </w:pPr>
      <w:r>
        <w:separator/>
      </w:r>
    </w:p>
  </w:footnote>
  <w:footnote w:type="continuationSeparator" w:id="0">
    <w:p w:rsidR="00B71C85" w:rsidRDefault="00B71C85" w:rsidP="00D00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C85" w:rsidRDefault="00B71C85" w:rsidP="00245101">
    <w:pPr>
      <w:pStyle w:val="Kopfzeile"/>
      <w:tabs>
        <w:tab w:val="clear" w:pos="4536"/>
        <w:tab w:val="clear" w:pos="9072"/>
        <w:tab w:val="center" w:pos="4677"/>
      </w:tabs>
    </w:pPr>
    <w:r>
      <w:rPr>
        <w:noProof/>
        <w:lang w:val="de-DE" w:eastAsia="de-DE"/>
      </w:rPr>
      <mc:AlternateContent>
        <mc:Choice Requires="wps">
          <w:drawing>
            <wp:anchor distT="0" distB="0" distL="114300" distR="114300" simplePos="0" relativeHeight="251662336" behindDoc="0" locked="0" layoutInCell="1" allowOverlap="1" wp14:anchorId="34E27CB8" wp14:editId="6FD77648">
              <wp:simplePos x="0" y="0"/>
              <wp:positionH relativeFrom="column">
                <wp:posOffset>347345</wp:posOffset>
              </wp:positionH>
              <wp:positionV relativeFrom="paragraph">
                <wp:posOffset>-145415</wp:posOffset>
              </wp:positionV>
              <wp:extent cx="6200775" cy="590550"/>
              <wp:effectExtent l="0" t="0" r="28575" b="285750"/>
              <wp:wrapNone/>
              <wp:docPr id="7" name="Freihandform 7"/>
              <wp:cNvGraphicFramePr/>
              <a:graphic xmlns:a="http://schemas.openxmlformats.org/drawingml/2006/main">
                <a:graphicData uri="http://schemas.microsoft.com/office/word/2010/wordprocessingShape">
                  <wps:wsp>
                    <wps:cNvSpPr/>
                    <wps:spPr>
                      <a:xfrm>
                        <a:off x="0" y="0"/>
                        <a:ext cx="6200775" cy="590550"/>
                      </a:xfrm>
                      <a:custGeom>
                        <a:avLst/>
                        <a:gdLst>
                          <a:gd name="connsiteX0" fmla="*/ 0 w 5743575"/>
                          <a:gd name="connsiteY0" fmla="*/ 330979 h 646806"/>
                          <a:gd name="connsiteX1" fmla="*/ 1990725 w 5743575"/>
                          <a:gd name="connsiteY1" fmla="*/ 7129 h 646806"/>
                          <a:gd name="connsiteX2" fmla="*/ 3562350 w 5743575"/>
                          <a:gd name="connsiteY2" fmla="*/ 607204 h 646806"/>
                          <a:gd name="connsiteX3" fmla="*/ 5743575 w 5743575"/>
                          <a:gd name="connsiteY3" fmla="*/ 540529 h 646806"/>
                        </a:gdLst>
                        <a:ahLst/>
                        <a:cxnLst>
                          <a:cxn ang="0">
                            <a:pos x="connsiteX0" y="connsiteY0"/>
                          </a:cxn>
                          <a:cxn ang="0">
                            <a:pos x="connsiteX1" y="connsiteY1"/>
                          </a:cxn>
                          <a:cxn ang="0">
                            <a:pos x="connsiteX2" y="connsiteY2"/>
                          </a:cxn>
                          <a:cxn ang="0">
                            <a:pos x="connsiteX3" y="connsiteY3"/>
                          </a:cxn>
                        </a:cxnLst>
                        <a:rect l="l" t="t" r="r" b="b"/>
                        <a:pathLst>
                          <a:path w="5743575" h="646806">
                            <a:moveTo>
                              <a:pt x="0" y="330979"/>
                            </a:moveTo>
                            <a:cubicBezTo>
                              <a:pt x="698500" y="146035"/>
                              <a:pt x="1397000" y="-38908"/>
                              <a:pt x="1990725" y="7129"/>
                            </a:cubicBezTo>
                            <a:cubicBezTo>
                              <a:pt x="2584450" y="53166"/>
                              <a:pt x="2936875" y="518304"/>
                              <a:pt x="3562350" y="607204"/>
                            </a:cubicBezTo>
                            <a:cubicBezTo>
                              <a:pt x="4187825" y="696104"/>
                              <a:pt x="4965700" y="618316"/>
                              <a:pt x="5743575" y="540529"/>
                            </a:cubicBezTo>
                          </a:path>
                        </a:pathLst>
                      </a:custGeom>
                      <a:noFill/>
                      <a:ln>
                        <a:gradFill flip="none" rotWithShape="1">
                          <a:gsLst>
                            <a:gs pos="43000">
                              <a:schemeClr val="accent1">
                                <a:lumMod val="60000"/>
                                <a:lumOff val="40000"/>
                              </a:schemeClr>
                            </a:gs>
                            <a:gs pos="21000">
                              <a:schemeClr val="bg2">
                                <a:lumMod val="90000"/>
                              </a:schemeClr>
                            </a:gs>
                            <a:gs pos="64000">
                              <a:schemeClr val="accent3">
                                <a:lumMod val="40000"/>
                                <a:lumOff val="60000"/>
                              </a:schemeClr>
                            </a:gs>
                            <a:gs pos="833">
                              <a:schemeClr val="bg1"/>
                            </a:gs>
                            <a:gs pos="99167">
                              <a:schemeClr val="bg1"/>
                            </a:gs>
                            <a:gs pos="85000">
                              <a:srgbClr val="F88178"/>
                            </a:gs>
                          </a:gsLst>
                          <a:lin ang="0" scaled="1"/>
                          <a:tileRect/>
                        </a:gradFill>
                        <a:headEnd w="sm" len="sm"/>
                        <a:tailEnd w="lg" len="med"/>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6A243" id="Freihandform 7" o:spid="_x0000_s1026" style="position:absolute;margin-left:27.35pt;margin-top:-11.45pt;width:488.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43575,646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" path="m,330979c698500,146035,1397000,-38908,1990725,7129v593725,46037,946150,511175,1571625,600075c4187825,696104,4965700,618316,5743575,540529e" filled="f" strokeweight="2pt">
              <v:stroke startarrowwidth="narrow" startarrowlength="short" endarrowwidth="wide"/>
              <v:path arrowok="t" o:connecttype="custom" o:connectlocs="0,302192;2149191,6509;3845920,554392;6200775,493516" o:connectangles="0,0,0,0"/>
            </v:shape>
          </w:pict>
        </mc:Fallback>
      </mc:AlternateContent>
    </w:r>
    <w:r>
      <w:rPr>
        <w:noProof/>
        <w:lang w:val="de-DE" w:eastAsia="de-DE"/>
      </w:rPr>
      <w:drawing>
        <wp:anchor distT="0" distB="0" distL="114300" distR="114300" simplePos="0" relativeHeight="251660288" behindDoc="1" locked="0" layoutInCell="1" allowOverlap="1" wp14:anchorId="37E1A763" wp14:editId="66DF44EC">
          <wp:simplePos x="0" y="0"/>
          <wp:positionH relativeFrom="column">
            <wp:posOffset>4572000</wp:posOffset>
          </wp:positionH>
          <wp:positionV relativeFrom="paragraph">
            <wp:posOffset>-284480</wp:posOffset>
          </wp:positionV>
          <wp:extent cx="1971675" cy="622886"/>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fiLogo_mitWappen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622886"/>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A89"/>
    <w:multiLevelType w:val="hybridMultilevel"/>
    <w:tmpl w:val="3216CF5C"/>
    <w:lvl w:ilvl="0" w:tplc="71AE809A">
      <w:start w:val="2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C593FD1"/>
    <w:multiLevelType w:val="singleLevel"/>
    <w:tmpl w:val="9CD289A6"/>
    <w:lvl w:ilvl="0">
      <w:start w:val="3"/>
      <w:numFmt w:val="decimal"/>
      <w:lvlText w:val="(%1)"/>
      <w:legacy w:legacy="1" w:legacySpace="0" w:legacyIndent="420"/>
      <w:lvlJc w:val="left"/>
      <w:pPr>
        <w:ind w:left="420" w:hanging="420"/>
      </w:pPr>
    </w:lvl>
  </w:abstractNum>
  <w:abstractNum w:abstractNumId="2" w15:restartNumberingAfterBreak="0">
    <w:nsid w:val="23AC45E0"/>
    <w:multiLevelType w:val="singleLevel"/>
    <w:tmpl w:val="F156F868"/>
    <w:lvl w:ilvl="0">
      <w:start w:val="1"/>
      <w:numFmt w:val="lowerLetter"/>
      <w:lvlText w:val="%1)"/>
      <w:legacy w:legacy="1" w:legacySpace="0" w:legacyIndent="360"/>
      <w:lvlJc w:val="left"/>
      <w:pPr>
        <w:ind w:left="360" w:hanging="360"/>
      </w:pPr>
    </w:lvl>
  </w:abstractNum>
  <w:abstractNum w:abstractNumId="3" w15:restartNumberingAfterBreak="0">
    <w:nsid w:val="256C6BAF"/>
    <w:multiLevelType w:val="hybridMultilevel"/>
    <w:tmpl w:val="E1AE8E9C"/>
    <w:lvl w:ilvl="0" w:tplc="C99CE95E">
      <w:start w:val="1"/>
      <w:numFmt w:val="bullet"/>
      <w:lvlText w:val=""/>
      <w:lvlJc w:val="left"/>
      <w:pPr>
        <w:ind w:left="720" w:hanging="360"/>
      </w:pPr>
      <w:rPr>
        <w:rFonts w:ascii="Wingdings" w:hAnsi="Wingdings" w:hint="default"/>
        <w:color w:val="93D85A"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8870299"/>
    <w:multiLevelType w:val="hybridMultilevel"/>
    <w:tmpl w:val="518E1BFA"/>
    <w:lvl w:ilvl="0" w:tplc="6590D7F8">
      <w:start w:val="1"/>
      <w:numFmt w:val="bullet"/>
      <w:lvlText w:val=""/>
      <w:lvlJc w:val="left"/>
      <w:pPr>
        <w:ind w:left="720" w:hanging="360"/>
      </w:pPr>
      <w:rPr>
        <w:rFonts w:ascii="Wingdings" w:hAnsi="Wingdings" w:hint="default"/>
        <w:color w:val="92D05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9D335AA"/>
    <w:multiLevelType w:val="hybridMultilevel"/>
    <w:tmpl w:val="C696E318"/>
    <w:lvl w:ilvl="0" w:tplc="C7CA19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9E4428"/>
    <w:multiLevelType w:val="multilevel"/>
    <w:tmpl w:val="047EA064"/>
    <w:lvl w:ilvl="0">
      <w:start w:val="1"/>
      <w:numFmt w:val="decimal"/>
      <w:lvlText w:val="(%1)"/>
      <w:lvlJc w:val="left"/>
      <w:pPr>
        <w:tabs>
          <w:tab w:val="num" w:pos="360"/>
        </w:tabs>
        <w:ind w:left="360" w:hanging="360"/>
      </w:pPr>
      <w:rPr>
        <w:rFont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38931C42"/>
    <w:multiLevelType w:val="hybridMultilevel"/>
    <w:tmpl w:val="A6E4E28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282FBE"/>
    <w:multiLevelType w:val="hybridMultilevel"/>
    <w:tmpl w:val="B854137C"/>
    <w:lvl w:ilvl="0" w:tplc="F44C8EE6">
      <w:start w:val="10"/>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07453BF"/>
    <w:multiLevelType w:val="singleLevel"/>
    <w:tmpl w:val="0304FB7E"/>
    <w:lvl w:ilvl="0">
      <w:start w:val="1"/>
      <w:numFmt w:val="decimal"/>
      <w:lvlText w:val="(%1)"/>
      <w:legacy w:legacy="1" w:legacySpace="0" w:legacyIndent="465"/>
      <w:lvlJc w:val="left"/>
      <w:pPr>
        <w:ind w:left="465" w:hanging="465"/>
      </w:pPr>
    </w:lvl>
  </w:abstractNum>
  <w:abstractNum w:abstractNumId="10" w15:restartNumberingAfterBreak="0">
    <w:nsid w:val="42685418"/>
    <w:multiLevelType w:val="hybridMultilevel"/>
    <w:tmpl w:val="3A66C996"/>
    <w:lvl w:ilvl="0" w:tplc="6590D7F8">
      <w:start w:val="1"/>
      <w:numFmt w:val="bullet"/>
      <w:lvlText w:val=""/>
      <w:lvlJc w:val="left"/>
      <w:pPr>
        <w:ind w:left="720" w:hanging="360"/>
      </w:pPr>
      <w:rPr>
        <w:rFonts w:ascii="Wingdings" w:hAnsi="Wingdings" w:hint="default"/>
        <w:color w:val="92D05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5F9276B"/>
    <w:multiLevelType w:val="hybridMultilevel"/>
    <w:tmpl w:val="E65E343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18B7FAA"/>
    <w:multiLevelType w:val="hybridMultilevel"/>
    <w:tmpl w:val="B4A49C22"/>
    <w:lvl w:ilvl="0" w:tplc="6590D7F8">
      <w:start w:val="1"/>
      <w:numFmt w:val="bullet"/>
      <w:lvlText w:val=""/>
      <w:lvlJc w:val="left"/>
      <w:pPr>
        <w:ind w:left="720" w:hanging="360"/>
      </w:pPr>
      <w:rPr>
        <w:rFonts w:ascii="Wingdings" w:hAnsi="Wingdings" w:hint="default"/>
        <w:color w:val="92D05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6635F4D"/>
    <w:multiLevelType w:val="hybridMultilevel"/>
    <w:tmpl w:val="17F6AEB0"/>
    <w:lvl w:ilvl="0" w:tplc="71845ED8">
      <w:start w:val="2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A59621E"/>
    <w:multiLevelType w:val="hybridMultilevel"/>
    <w:tmpl w:val="BFE67BE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8387FC7"/>
    <w:multiLevelType w:val="singleLevel"/>
    <w:tmpl w:val="99C6C38E"/>
    <w:lvl w:ilvl="0">
      <w:start w:val="1"/>
      <w:numFmt w:val="decimal"/>
      <w:lvlText w:val="(%1)"/>
      <w:lvlJc w:val="left"/>
      <w:pPr>
        <w:tabs>
          <w:tab w:val="num" w:pos="420"/>
        </w:tabs>
        <w:ind w:left="420" w:hanging="420"/>
      </w:pPr>
      <w:rPr>
        <w:rFonts w:hint="default"/>
      </w:rPr>
    </w:lvl>
  </w:abstractNum>
  <w:num w:numId="1">
    <w:abstractNumId w:val="8"/>
  </w:num>
  <w:num w:numId="2">
    <w:abstractNumId w:val="11"/>
  </w:num>
  <w:num w:numId="3">
    <w:abstractNumId w:val="12"/>
  </w:num>
  <w:num w:numId="4">
    <w:abstractNumId w:val="4"/>
  </w:num>
  <w:num w:numId="5">
    <w:abstractNumId w:val="10"/>
  </w:num>
  <w:num w:numId="6">
    <w:abstractNumId w:val="0"/>
  </w:num>
  <w:num w:numId="7">
    <w:abstractNumId w:val="13"/>
  </w:num>
  <w:num w:numId="8">
    <w:abstractNumId w:val="14"/>
  </w:num>
  <w:num w:numId="9">
    <w:abstractNumId w:val="3"/>
  </w:num>
  <w:num w:numId="10">
    <w:abstractNumId w:val="5"/>
  </w:num>
  <w:num w:numId="11">
    <w:abstractNumId w:val="1"/>
  </w:num>
  <w:num w:numId="12">
    <w:abstractNumId w:val="2"/>
  </w:num>
  <w:num w:numId="13">
    <w:abstractNumId w:val="9"/>
  </w:num>
  <w:num w:numId="14">
    <w:abstractNumId w:val="1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81921">
      <o:colormru v:ext="edit" colors="#c8f7fc,#e3fcfd,#f6faf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89"/>
    <w:rsid w:val="000061DE"/>
    <w:rsid w:val="000155CB"/>
    <w:rsid w:val="0002199E"/>
    <w:rsid w:val="00040BD7"/>
    <w:rsid w:val="000549C9"/>
    <w:rsid w:val="00056C03"/>
    <w:rsid w:val="0006476E"/>
    <w:rsid w:val="000846ED"/>
    <w:rsid w:val="00090695"/>
    <w:rsid w:val="000C4FE9"/>
    <w:rsid w:val="000C6FA8"/>
    <w:rsid w:val="000F305D"/>
    <w:rsid w:val="00102E0E"/>
    <w:rsid w:val="001219D6"/>
    <w:rsid w:val="0012224F"/>
    <w:rsid w:val="00122453"/>
    <w:rsid w:val="00133757"/>
    <w:rsid w:val="0014075D"/>
    <w:rsid w:val="00140E18"/>
    <w:rsid w:val="00144BE9"/>
    <w:rsid w:val="00155B21"/>
    <w:rsid w:val="00162AC2"/>
    <w:rsid w:val="00163F80"/>
    <w:rsid w:val="001734C5"/>
    <w:rsid w:val="00174567"/>
    <w:rsid w:val="0018372A"/>
    <w:rsid w:val="00183B1F"/>
    <w:rsid w:val="00183D5A"/>
    <w:rsid w:val="001926D1"/>
    <w:rsid w:val="001B15FB"/>
    <w:rsid w:val="001B20E3"/>
    <w:rsid w:val="001C4A9E"/>
    <w:rsid w:val="001C54F2"/>
    <w:rsid w:val="001D3C66"/>
    <w:rsid w:val="001F3FBA"/>
    <w:rsid w:val="001F455F"/>
    <w:rsid w:val="001F54AA"/>
    <w:rsid w:val="001F604D"/>
    <w:rsid w:val="002002ED"/>
    <w:rsid w:val="0021087E"/>
    <w:rsid w:val="00211507"/>
    <w:rsid w:val="00223D66"/>
    <w:rsid w:val="00234F8F"/>
    <w:rsid w:val="002444AB"/>
    <w:rsid w:val="00245101"/>
    <w:rsid w:val="0024522E"/>
    <w:rsid w:val="00252273"/>
    <w:rsid w:val="002546F0"/>
    <w:rsid w:val="00261D56"/>
    <w:rsid w:val="00273953"/>
    <w:rsid w:val="00295404"/>
    <w:rsid w:val="00295425"/>
    <w:rsid w:val="002971D7"/>
    <w:rsid w:val="002978A5"/>
    <w:rsid w:val="002B77CD"/>
    <w:rsid w:val="002D536F"/>
    <w:rsid w:val="002D7466"/>
    <w:rsid w:val="0033722F"/>
    <w:rsid w:val="003613B3"/>
    <w:rsid w:val="00367578"/>
    <w:rsid w:val="00396DB2"/>
    <w:rsid w:val="003B000F"/>
    <w:rsid w:val="003B3C96"/>
    <w:rsid w:val="003B4FEB"/>
    <w:rsid w:val="003F4E20"/>
    <w:rsid w:val="004041EC"/>
    <w:rsid w:val="004050C6"/>
    <w:rsid w:val="00430072"/>
    <w:rsid w:val="00444F98"/>
    <w:rsid w:val="004518AA"/>
    <w:rsid w:val="00457592"/>
    <w:rsid w:val="004848DE"/>
    <w:rsid w:val="004852E1"/>
    <w:rsid w:val="004853AF"/>
    <w:rsid w:val="00490ACE"/>
    <w:rsid w:val="004B1EB5"/>
    <w:rsid w:val="004B3C39"/>
    <w:rsid w:val="004C236F"/>
    <w:rsid w:val="004C2F29"/>
    <w:rsid w:val="004C372B"/>
    <w:rsid w:val="004D22F2"/>
    <w:rsid w:val="004E1A73"/>
    <w:rsid w:val="004E495D"/>
    <w:rsid w:val="004F32C4"/>
    <w:rsid w:val="00520D83"/>
    <w:rsid w:val="005309D4"/>
    <w:rsid w:val="005569E7"/>
    <w:rsid w:val="00573D5D"/>
    <w:rsid w:val="00591E08"/>
    <w:rsid w:val="005947AD"/>
    <w:rsid w:val="00596073"/>
    <w:rsid w:val="005B2EB2"/>
    <w:rsid w:val="005E18A1"/>
    <w:rsid w:val="005F3C1D"/>
    <w:rsid w:val="005F5A8E"/>
    <w:rsid w:val="00613EB4"/>
    <w:rsid w:val="00617454"/>
    <w:rsid w:val="0064004F"/>
    <w:rsid w:val="0064310A"/>
    <w:rsid w:val="00644D5A"/>
    <w:rsid w:val="00645295"/>
    <w:rsid w:val="006523E1"/>
    <w:rsid w:val="00662624"/>
    <w:rsid w:val="00677AFB"/>
    <w:rsid w:val="006869F0"/>
    <w:rsid w:val="006D08DA"/>
    <w:rsid w:val="006D0ED4"/>
    <w:rsid w:val="006E20F4"/>
    <w:rsid w:val="00706DE0"/>
    <w:rsid w:val="00716321"/>
    <w:rsid w:val="007341E5"/>
    <w:rsid w:val="00736175"/>
    <w:rsid w:val="00746944"/>
    <w:rsid w:val="0078585C"/>
    <w:rsid w:val="00786017"/>
    <w:rsid w:val="007B45C4"/>
    <w:rsid w:val="007B679D"/>
    <w:rsid w:val="007C0C71"/>
    <w:rsid w:val="007C497E"/>
    <w:rsid w:val="007C4EF2"/>
    <w:rsid w:val="007D4A97"/>
    <w:rsid w:val="007D588A"/>
    <w:rsid w:val="007E34C0"/>
    <w:rsid w:val="007E383F"/>
    <w:rsid w:val="008027BB"/>
    <w:rsid w:val="00803CD2"/>
    <w:rsid w:val="00814EB5"/>
    <w:rsid w:val="00833627"/>
    <w:rsid w:val="00852A14"/>
    <w:rsid w:val="00860B96"/>
    <w:rsid w:val="0086197F"/>
    <w:rsid w:val="008669A1"/>
    <w:rsid w:val="00892D9C"/>
    <w:rsid w:val="008B4450"/>
    <w:rsid w:val="008C0569"/>
    <w:rsid w:val="008D2211"/>
    <w:rsid w:val="008D285C"/>
    <w:rsid w:val="008E452A"/>
    <w:rsid w:val="008F43C1"/>
    <w:rsid w:val="009023EB"/>
    <w:rsid w:val="00903706"/>
    <w:rsid w:val="009111DE"/>
    <w:rsid w:val="00916D1F"/>
    <w:rsid w:val="0092356C"/>
    <w:rsid w:val="00946AF3"/>
    <w:rsid w:val="0096368C"/>
    <w:rsid w:val="00967CD5"/>
    <w:rsid w:val="00975DF5"/>
    <w:rsid w:val="00980ACA"/>
    <w:rsid w:val="00982457"/>
    <w:rsid w:val="00997081"/>
    <w:rsid w:val="009B36DD"/>
    <w:rsid w:val="009C4D0C"/>
    <w:rsid w:val="009D50A2"/>
    <w:rsid w:val="009E5536"/>
    <w:rsid w:val="009F79F7"/>
    <w:rsid w:val="00A0487C"/>
    <w:rsid w:val="00A06BAB"/>
    <w:rsid w:val="00A131DE"/>
    <w:rsid w:val="00A14C15"/>
    <w:rsid w:val="00A2152F"/>
    <w:rsid w:val="00A2699F"/>
    <w:rsid w:val="00A314D0"/>
    <w:rsid w:val="00A44B48"/>
    <w:rsid w:val="00A722A9"/>
    <w:rsid w:val="00A83775"/>
    <w:rsid w:val="00AA0604"/>
    <w:rsid w:val="00AA533C"/>
    <w:rsid w:val="00AB7B2B"/>
    <w:rsid w:val="00AD39EE"/>
    <w:rsid w:val="00AF15C6"/>
    <w:rsid w:val="00B018E5"/>
    <w:rsid w:val="00B06547"/>
    <w:rsid w:val="00B13F57"/>
    <w:rsid w:val="00B308D9"/>
    <w:rsid w:val="00B40563"/>
    <w:rsid w:val="00B4396C"/>
    <w:rsid w:val="00B45312"/>
    <w:rsid w:val="00B46FFF"/>
    <w:rsid w:val="00B57FE3"/>
    <w:rsid w:val="00B619ED"/>
    <w:rsid w:val="00B64EF3"/>
    <w:rsid w:val="00B71C85"/>
    <w:rsid w:val="00B96E12"/>
    <w:rsid w:val="00BB22AF"/>
    <w:rsid w:val="00BC309C"/>
    <w:rsid w:val="00BC6181"/>
    <w:rsid w:val="00BE518D"/>
    <w:rsid w:val="00BE5C2D"/>
    <w:rsid w:val="00C17A24"/>
    <w:rsid w:val="00C42AF5"/>
    <w:rsid w:val="00C44168"/>
    <w:rsid w:val="00C516B7"/>
    <w:rsid w:val="00C531BA"/>
    <w:rsid w:val="00C67630"/>
    <w:rsid w:val="00C73355"/>
    <w:rsid w:val="00C92A6D"/>
    <w:rsid w:val="00C97A3B"/>
    <w:rsid w:val="00CA3339"/>
    <w:rsid w:val="00CB16CD"/>
    <w:rsid w:val="00CB1A1E"/>
    <w:rsid w:val="00CB54BB"/>
    <w:rsid w:val="00CB5797"/>
    <w:rsid w:val="00CC02F7"/>
    <w:rsid w:val="00CD6E34"/>
    <w:rsid w:val="00CF728A"/>
    <w:rsid w:val="00CF76AA"/>
    <w:rsid w:val="00D00F89"/>
    <w:rsid w:val="00D02476"/>
    <w:rsid w:val="00D1250D"/>
    <w:rsid w:val="00D17E8F"/>
    <w:rsid w:val="00D21CDE"/>
    <w:rsid w:val="00D26E76"/>
    <w:rsid w:val="00D27B87"/>
    <w:rsid w:val="00D31909"/>
    <w:rsid w:val="00D334F1"/>
    <w:rsid w:val="00D33D88"/>
    <w:rsid w:val="00D360E3"/>
    <w:rsid w:val="00D375D7"/>
    <w:rsid w:val="00D4169C"/>
    <w:rsid w:val="00D505AD"/>
    <w:rsid w:val="00D67F81"/>
    <w:rsid w:val="00D70974"/>
    <w:rsid w:val="00D86F3D"/>
    <w:rsid w:val="00D92F95"/>
    <w:rsid w:val="00DA4BCE"/>
    <w:rsid w:val="00DB0956"/>
    <w:rsid w:val="00DC10EF"/>
    <w:rsid w:val="00DC12B7"/>
    <w:rsid w:val="00DC4939"/>
    <w:rsid w:val="00DE4A7D"/>
    <w:rsid w:val="00E057D0"/>
    <w:rsid w:val="00E107E5"/>
    <w:rsid w:val="00E1142C"/>
    <w:rsid w:val="00E2210C"/>
    <w:rsid w:val="00E22E35"/>
    <w:rsid w:val="00E24553"/>
    <w:rsid w:val="00E2702F"/>
    <w:rsid w:val="00E43125"/>
    <w:rsid w:val="00E524C8"/>
    <w:rsid w:val="00E5677C"/>
    <w:rsid w:val="00E62B0C"/>
    <w:rsid w:val="00E70D96"/>
    <w:rsid w:val="00E90C98"/>
    <w:rsid w:val="00E96143"/>
    <w:rsid w:val="00EA34B2"/>
    <w:rsid w:val="00EA7042"/>
    <w:rsid w:val="00EB2ED2"/>
    <w:rsid w:val="00ED7E20"/>
    <w:rsid w:val="00EF623E"/>
    <w:rsid w:val="00F03015"/>
    <w:rsid w:val="00F116FD"/>
    <w:rsid w:val="00F15BCC"/>
    <w:rsid w:val="00F23F98"/>
    <w:rsid w:val="00F4698E"/>
    <w:rsid w:val="00F52EFA"/>
    <w:rsid w:val="00F54CD3"/>
    <w:rsid w:val="00F70B2D"/>
    <w:rsid w:val="00F75617"/>
    <w:rsid w:val="00F86E26"/>
    <w:rsid w:val="00F925E5"/>
    <w:rsid w:val="00F94300"/>
    <w:rsid w:val="00FB661F"/>
    <w:rsid w:val="00FD44DD"/>
    <w:rsid w:val="00FF10E7"/>
    <w:rsid w:val="00FF19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21">
      <o:colormru v:ext="edit" colors="#c8f7fc,#e3fcfd,#f6fafe"/>
    </o:shapedefaults>
    <o:shapelayout v:ext="edit">
      <o:idmap v:ext="edit" data="1"/>
    </o:shapelayout>
  </w:shapeDefaults>
  <w:decimalSymbol w:val=","/>
  <w:listSeparator w:val=";"/>
  <w14:docId w14:val="7D606599"/>
  <w15:docId w15:val="{38177AFB-8E84-4BE7-A744-0C4E71D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2A6D"/>
    <w:pPr>
      <w:spacing w:line="360" w:lineRule="auto"/>
    </w:pPr>
    <w:rPr>
      <w:sz w:val="24"/>
    </w:rPr>
  </w:style>
  <w:style w:type="paragraph" w:styleId="berschrift1">
    <w:name w:val="heading 1"/>
    <w:basedOn w:val="Standard"/>
    <w:next w:val="Standard"/>
    <w:link w:val="berschrift1Zchn"/>
    <w:uiPriority w:val="9"/>
    <w:qFormat/>
    <w:rsid w:val="00E2702F"/>
    <w:pPr>
      <w:keepNext/>
      <w:keepLines/>
      <w:spacing w:before="480" w:after="0"/>
      <w:outlineLvl w:val="0"/>
    </w:pPr>
    <w:rPr>
      <w:rFonts w:asciiTheme="majorHAnsi" w:eastAsiaTheme="majorEastAsia" w:hAnsiTheme="majorHAnsi" w:cstheme="majorBidi"/>
      <w:b/>
      <w:bCs/>
      <w:color w:val="6BB92B" w:themeColor="accent1" w:themeShade="BF"/>
      <w:sz w:val="28"/>
      <w:szCs w:val="28"/>
    </w:rPr>
  </w:style>
  <w:style w:type="paragraph" w:styleId="berschrift2">
    <w:name w:val="heading 2"/>
    <w:basedOn w:val="Standard"/>
    <w:next w:val="Standard"/>
    <w:link w:val="berschrift2Zchn"/>
    <w:uiPriority w:val="9"/>
    <w:unhideWhenUsed/>
    <w:qFormat/>
    <w:rsid w:val="00EA7042"/>
    <w:pPr>
      <w:keepNext/>
      <w:keepLines/>
      <w:spacing w:before="40" w:after="0"/>
      <w:outlineLvl w:val="1"/>
    </w:pPr>
    <w:rPr>
      <w:rFonts w:asciiTheme="majorHAnsi" w:eastAsiaTheme="majorEastAsia" w:hAnsiTheme="majorHAnsi" w:cstheme="majorBidi"/>
      <w:color w:val="6BB92B"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0F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0F89"/>
  </w:style>
  <w:style w:type="paragraph" w:styleId="Fuzeile">
    <w:name w:val="footer"/>
    <w:basedOn w:val="Standard"/>
    <w:link w:val="FuzeileZchn"/>
    <w:uiPriority w:val="99"/>
    <w:unhideWhenUsed/>
    <w:rsid w:val="00D00F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0F89"/>
  </w:style>
  <w:style w:type="paragraph" w:styleId="Sprechblasentext">
    <w:name w:val="Balloon Text"/>
    <w:basedOn w:val="Standard"/>
    <w:link w:val="SprechblasentextZchn"/>
    <w:uiPriority w:val="99"/>
    <w:semiHidden/>
    <w:unhideWhenUsed/>
    <w:rsid w:val="00D00F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0F89"/>
    <w:rPr>
      <w:rFonts w:ascii="Tahoma" w:hAnsi="Tahoma" w:cs="Tahoma"/>
      <w:sz w:val="16"/>
      <w:szCs w:val="16"/>
    </w:rPr>
  </w:style>
  <w:style w:type="character" w:customStyle="1" w:styleId="berschrift1Zchn">
    <w:name w:val="Überschrift 1 Zchn"/>
    <w:basedOn w:val="Absatz-Standardschriftart"/>
    <w:link w:val="berschrift1"/>
    <w:uiPriority w:val="9"/>
    <w:rsid w:val="00E2702F"/>
    <w:rPr>
      <w:rFonts w:asciiTheme="majorHAnsi" w:eastAsiaTheme="majorEastAsia" w:hAnsiTheme="majorHAnsi" w:cstheme="majorBidi"/>
      <w:b/>
      <w:bCs/>
      <w:color w:val="6BB92B" w:themeColor="accent1" w:themeShade="BF"/>
      <w:sz w:val="28"/>
      <w:szCs w:val="28"/>
    </w:rPr>
  </w:style>
  <w:style w:type="paragraph" w:styleId="Titel">
    <w:name w:val="Title"/>
    <w:basedOn w:val="Standard"/>
    <w:next w:val="Standard"/>
    <w:link w:val="TitelZchn"/>
    <w:uiPriority w:val="10"/>
    <w:qFormat/>
    <w:rsid w:val="00E2702F"/>
    <w:pPr>
      <w:pBdr>
        <w:bottom w:val="single" w:sz="8" w:space="4" w:color="93D85A"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TitelZchn">
    <w:name w:val="Titel Zchn"/>
    <w:basedOn w:val="Absatz-Standardschriftart"/>
    <w:link w:val="Titel"/>
    <w:uiPriority w:val="10"/>
    <w:rsid w:val="00E2702F"/>
    <w:rPr>
      <w:rFonts w:asciiTheme="majorHAnsi" w:eastAsiaTheme="majorEastAsia" w:hAnsiTheme="majorHAnsi" w:cstheme="majorBidi"/>
      <w:color w:val="3A4452" w:themeColor="text2" w:themeShade="BF"/>
      <w:spacing w:val="5"/>
      <w:kern w:val="28"/>
      <w:sz w:val="52"/>
      <w:szCs w:val="52"/>
    </w:rPr>
  </w:style>
  <w:style w:type="paragraph" w:styleId="Listenabsatz">
    <w:name w:val="List Paragraph"/>
    <w:basedOn w:val="Standard"/>
    <w:uiPriority w:val="34"/>
    <w:qFormat/>
    <w:rsid w:val="00DB0956"/>
    <w:pPr>
      <w:spacing w:line="276" w:lineRule="auto"/>
      <w:ind w:left="720"/>
      <w:contextualSpacing/>
    </w:pPr>
  </w:style>
  <w:style w:type="paragraph" w:styleId="StandardWeb">
    <w:name w:val="Normal (Web)"/>
    <w:basedOn w:val="Standard"/>
    <w:uiPriority w:val="99"/>
    <w:unhideWhenUsed/>
    <w:rsid w:val="00BE518D"/>
    <w:pPr>
      <w:spacing w:before="100" w:beforeAutospacing="1" w:after="100" w:afterAutospacing="1" w:line="240" w:lineRule="auto"/>
    </w:pPr>
    <w:rPr>
      <w:rFonts w:ascii="Times New Roman" w:eastAsiaTheme="minorEastAsia" w:hAnsi="Times New Roman" w:cs="Times New Roman"/>
      <w:szCs w:val="24"/>
      <w:lang w:eastAsia="de-AT"/>
    </w:rPr>
  </w:style>
  <w:style w:type="paragraph" w:styleId="Beschriftung">
    <w:name w:val="caption"/>
    <w:basedOn w:val="Standard"/>
    <w:next w:val="Standard"/>
    <w:uiPriority w:val="35"/>
    <w:unhideWhenUsed/>
    <w:qFormat/>
    <w:rsid w:val="001C4A9E"/>
    <w:pPr>
      <w:spacing w:line="240" w:lineRule="auto"/>
    </w:pPr>
    <w:rPr>
      <w:b/>
      <w:bCs/>
      <w:color w:val="93D85A" w:themeColor="accent1"/>
      <w:sz w:val="18"/>
      <w:szCs w:val="18"/>
    </w:rPr>
  </w:style>
  <w:style w:type="character" w:styleId="Hyperlink">
    <w:name w:val="Hyperlink"/>
    <w:basedOn w:val="Absatz-Standardschriftart"/>
    <w:uiPriority w:val="99"/>
    <w:unhideWhenUsed/>
    <w:rsid w:val="00E96143"/>
    <w:rPr>
      <w:color w:val="EB8803" w:themeColor="hyperlink"/>
      <w:u w:val="single"/>
    </w:rPr>
  </w:style>
  <w:style w:type="character" w:styleId="BesuchterLink">
    <w:name w:val="FollowedHyperlink"/>
    <w:basedOn w:val="Absatz-Standardschriftart"/>
    <w:uiPriority w:val="99"/>
    <w:semiHidden/>
    <w:unhideWhenUsed/>
    <w:rsid w:val="009D50A2"/>
    <w:rPr>
      <w:color w:val="5F7791" w:themeColor="followedHyperlink"/>
      <w:u w:val="single"/>
    </w:rPr>
  </w:style>
  <w:style w:type="character" w:customStyle="1" w:styleId="berschrift2Zchn">
    <w:name w:val="Überschrift 2 Zchn"/>
    <w:basedOn w:val="Absatz-Standardschriftart"/>
    <w:link w:val="berschrift2"/>
    <w:uiPriority w:val="9"/>
    <w:rsid w:val="00EA7042"/>
    <w:rPr>
      <w:rFonts w:asciiTheme="majorHAnsi" w:eastAsiaTheme="majorEastAsia" w:hAnsiTheme="majorHAnsi" w:cstheme="majorBidi"/>
      <w:color w:val="6BB92B" w:themeColor="accent1" w:themeShade="BF"/>
      <w:sz w:val="26"/>
      <w:szCs w:val="26"/>
    </w:rPr>
  </w:style>
  <w:style w:type="paragraph" w:styleId="IntensivesZitat">
    <w:name w:val="Intense Quote"/>
    <w:basedOn w:val="Standard"/>
    <w:next w:val="Standard"/>
    <w:link w:val="IntensivesZitatZchn"/>
    <w:uiPriority w:val="30"/>
    <w:qFormat/>
    <w:rsid w:val="00EA7042"/>
    <w:pPr>
      <w:pBdr>
        <w:top w:val="single" w:sz="4" w:space="10" w:color="93D85A" w:themeColor="accent1"/>
        <w:bottom w:val="single" w:sz="4" w:space="10" w:color="93D85A" w:themeColor="accent1"/>
      </w:pBdr>
      <w:spacing w:before="360" w:after="360"/>
      <w:ind w:left="864" w:right="864"/>
      <w:jc w:val="center"/>
    </w:pPr>
    <w:rPr>
      <w:i/>
      <w:iCs/>
      <w:color w:val="93D85A" w:themeColor="accent1"/>
    </w:rPr>
  </w:style>
  <w:style w:type="character" w:customStyle="1" w:styleId="IntensivesZitatZchn">
    <w:name w:val="Intensives Zitat Zchn"/>
    <w:basedOn w:val="Absatz-Standardschriftart"/>
    <w:link w:val="IntensivesZitat"/>
    <w:uiPriority w:val="30"/>
    <w:rsid w:val="00EA7042"/>
    <w:rPr>
      <w:i/>
      <w:iCs/>
      <w:color w:val="93D85A" w:themeColor="accent1"/>
      <w:sz w:val="24"/>
    </w:rPr>
  </w:style>
  <w:style w:type="table" w:styleId="Tabellenraster">
    <w:name w:val="Table Grid"/>
    <w:basedOn w:val="NormaleTabelle"/>
    <w:uiPriority w:val="59"/>
    <w:rsid w:val="00140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1">
    <w:name w:val="Grid Table 5 Dark Accent 1"/>
    <w:basedOn w:val="NormaleTabelle"/>
    <w:uiPriority w:val="50"/>
    <w:rsid w:val="004F3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7D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D85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D85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D85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D85A" w:themeFill="accent1"/>
      </w:tcPr>
    </w:tblStylePr>
    <w:tblStylePr w:type="band1Vert">
      <w:tblPr/>
      <w:tcPr>
        <w:shd w:val="clear" w:color="auto" w:fill="D3EFBC" w:themeFill="accent1" w:themeFillTint="66"/>
      </w:tcPr>
    </w:tblStylePr>
    <w:tblStylePr w:type="band1Horz">
      <w:tblPr/>
      <w:tcPr>
        <w:shd w:val="clear" w:color="auto" w:fill="D3EFBC" w:themeFill="accent1" w:themeFillTint="66"/>
      </w:tcPr>
    </w:tblStylePr>
  </w:style>
  <w:style w:type="table" w:customStyle="1" w:styleId="Kalender3">
    <w:name w:val="Kalender 3"/>
    <w:basedOn w:val="NormaleTabelle"/>
    <w:uiPriority w:val="99"/>
    <w:qFormat/>
    <w:rsid w:val="004F32C4"/>
    <w:pPr>
      <w:spacing w:after="0" w:line="240" w:lineRule="auto"/>
      <w:jc w:val="right"/>
    </w:pPr>
    <w:rPr>
      <w:rFonts w:asciiTheme="majorHAnsi" w:eastAsiaTheme="majorEastAsia" w:hAnsiTheme="majorHAnsi" w:cstheme="majorBidi"/>
      <w:color w:val="000000" w:themeColor="text1"/>
      <w:lang w:val="de-DE" w:eastAsia="de-DE"/>
    </w:rPr>
    <w:tblPr/>
    <w:tblStylePr w:type="firstRow">
      <w:pPr>
        <w:wordWrap/>
        <w:jc w:val="right"/>
      </w:pPr>
      <w:rPr>
        <w:color w:val="93D85A" w:themeColor="accent1"/>
        <w:sz w:val="44"/>
      </w:rPr>
    </w:tblStylePr>
    <w:tblStylePr w:type="firstCol">
      <w:rPr>
        <w:color w:val="93D85A" w:themeColor="accent1"/>
      </w:rPr>
    </w:tblStylePr>
    <w:tblStylePr w:type="lastCol">
      <w:rPr>
        <w:color w:val="93D85A" w:themeColor="accent1"/>
      </w:rPr>
    </w:tblStylePr>
  </w:style>
  <w:style w:type="paragraph" w:styleId="Textkrper">
    <w:name w:val="Body Text"/>
    <w:basedOn w:val="Standard"/>
    <w:link w:val="TextkrperZchn"/>
    <w:rsid w:val="00706DE0"/>
    <w:pPr>
      <w:spacing w:after="0" w:line="240" w:lineRule="auto"/>
      <w:jc w:val="both"/>
    </w:pPr>
    <w:rPr>
      <w:rFonts w:ascii="Times New Roman" w:eastAsia="Times New Roman" w:hAnsi="Times New Roman" w:cs="Times New Roman"/>
      <w:b/>
      <w:sz w:val="28"/>
      <w:szCs w:val="20"/>
      <w:lang w:val="de-DE" w:eastAsia="de-DE"/>
    </w:rPr>
  </w:style>
  <w:style w:type="character" w:customStyle="1" w:styleId="TextkrperZchn">
    <w:name w:val="Textkörper Zchn"/>
    <w:basedOn w:val="Absatz-Standardschriftart"/>
    <w:link w:val="Textkrper"/>
    <w:rsid w:val="00706DE0"/>
    <w:rPr>
      <w:rFonts w:ascii="Times New Roman" w:eastAsia="Times New Roman" w:hAnsi="Times New Roman" w:cs="Times New Roman"/>
      <w:b/>
      <w:sz w:val="28"/>
      <w:szCs w:val="20"/>
      <w:lang w:val="de-DE" w:eastAsia="de-DE"/>
    </w:rPr>
  </w:style>
  <w:style w:type="paragraph" w:customStyle="1" w:styleId="Textkrper21">
    <w:name w:val="Textkörper 21"/>
    <w:basedOn w:val="Standard"/>
    <w:rsid w:val="00040BD7"/>
    <w:pPr>
      <w:spacing w:after="0"/>
      <w:jc w:val="both"/>
    </w:pPr>
    <w:rPr>
      <w:rFonts w:ascii="Times New Roman" w:eastAsia="Times New Roman" w:hAnsi="Times New Roman" w:cs="Times New Roman"/>
      <w:b/>
      <w:szCs w:val="20"/>
      <w:lang w:val="de-DE" w:eastAsia="de-DE"/>
    </w:rPr>
  </w:style>
  <w:style w:type="paragraph" w:customStyle="1" w:styleId="Textkrper-Einzug21">
    <w:name w:val="Textkörper-Einzug 21"/>
    <w:basedOn w:val="Standard"/>
    <w:rsid w:val="00040BD7"/>
    <w:pPr>
      <w:spacing w:after="0"/>
      <w:ind w:left="284" w:hanging="284"/>
      <w:jc w:val="both"/>
    </w:pPr>
    <w:rPr>
      <w:rFonts w:ascii="Times New Roman" w:eastAsia="Times New Roman" w:hAnsi="Times New Roman" w:cs="Times New Roman"/>
      <w:szCs w:val="20"/>
      <w:lang w:val="de-DE" w:eastAsia="de-DE"/>
    </w:rPr>
  </w:style>
  <w:style w:type="paragraph" w:styleId="Funotentext">
    <w:name w:val="footnote text"/>
    <w:basedOn w:val="Standard"/>
    <w:link w:val="FunotentextZchn"/>
    <w:semiHidden/>
    <w:rsid w:val="00040BD7"/>
    <w:pPr>
      <w:spacing w:after="0" w:line="240" w:lineRule="auto"/>
    </w:pPr>
    <w:rPr>
      <w:rFonts w:ascii="Times New Roman" w:eastAsia="Times New Roman" w:hAnsi="Times New Roman" w:cs="Times New Roman"/>
      <w:sz w:val="20"/>
      <w:szCs w:val="20"/>
      <w:lang w:val="de-DE" w:eastAsia="de-DE"/>
    </w:rPr>
  </w:style>
  <w:style w:type="character" w:customStyle="1" w:styleId="FunotentextZchn">
    <w:name w:val="Fußnotentext Zchn"/>
    <w:basedOn w:val="Absatz-Standardschriftart"/>
    <w:link w:val="Funotentext"/>
    <w:semiHidden/>
    <w:rsid w:val="00040BD7"/>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semiHidden/>
    <w:rsid w:val="00040B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29116">
      <w:bodyDiv w:val="1"/>
      <w:marLeft w:val="0"/>
      <w:marRight w:val="0"/>
      <w:marTop w:val="0"/>
      <w:marBottom w:val="0"/>
      <w:divBdr>
        <w:top w:val="none" w:sz="0" w:space="0" w:color="auto"/>
        <w:left w:val="none" w:sz="0" w:space="0" w:color="auto"/>
        <w:bottom w:val="none" w:sz="0" w:space="0" w:color="auto"/>
        <w:right w:val="none" w:sz="0" w:space="0" w:color="auto"/>
      </w:divBdr>
    </w:div>
    <w:div w:id="601496630">
      <w:bodyDiv w:val="1"/>
      <w:marLeft w:val="0"/>
      <w:marRight w:val="0"/>
      <w:marTop w:val="0"/>
      <w:marBottom w:val="0"/>
      <w:divBdr>
        <w:top w:val="none" w:sz="0" w:space="0" w:color="auto"/>
        <w:left w:val="none" w:sz="0" w:space="0" w:color="auto"/>
        <w:bottom w:val="none" w:sz="0" w:space="0" w:color="auto"/>
        <w:right w:val="none" w:sz="0" w:space="0" w:color="auto"/>
      </w:divBdr>
    </w:div>
    <w:div w:id="802385237">
      <w:bodyDiv w:val="1"/>
      <w:marLeft w:val="0"/>
      <w:marRight w:val="0"/>
      <w:marTop w:val="0"/>
      <w:marBottom w:val="0"/>
      <w:divBdr>
        <w:top w:val="none" w:sz="0" w:space="0" w:color="auto"/>
        <w:left w:val="none" w:sz="0" w:space="0" w:color="auto"/>
        <w:bottom w:val="none" w:sz="0" w:space="0" w:color="auto"/>
        <w:right w:val="none" w:sz="0" w:space="0" w:color="auto"/>
      </w:divBdr>
    </w:div>
    <w:div w:id="119881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Hyperion">
  <a:themeElements>
    <a:clrScheme name="Benutzerdefiniert 3">
      <a:dk1>
        <a:sysClr val="windowText" lastClr="000000"/>
      </a:dk1>
      <a:lt1>
        <a:sysClr val="window" lastClr="FFFFFF"/>
      </a:lt1>
      <a:dk2>
        <a:srgbClr val="4E5B6F"/>
      </a:dk2>
      <a:lt2>
        <a:srgbClr val="D6ECFF"/>
      </a:lt2>
      <a:accent1>
        <a:srgbClr val="93D85A"/>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yperion">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C824D-F385-4B2A-A4A9-78B5FD21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24FB0C5D.dotm</Template>
  <TotalTime>0</TotalTime>
  <Pages>4</Pages>
  <Words>1015</Words>
  <Characters>6396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Gemeinde Munderfing</dc:creator>
  <cp:lastModifiedBy>Reichinger Rebekka (Gemeinde Munderfing)</cp:lastModifiedBy>
  <cp:revision>16</cp:revision>
  <cp:lastPrinted>2017-07-03T08:08:00Z</cp:lastPrinted>
  <dcterms:created xsi:type="dcterms:W3CDTF">2018-12-18T08:31:00Z</dcterms:created>
  <dcterms:modified xsi:type="dcterms:W3CDTF">2019-04-17T10:27:00Z</dcterms:modified>
</cp:coreProperties>
</file>